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3</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R1-200</w:t>
      </w:r>
      <w:r>
        <w:rPr>
          <w:rFonts w:hint="eastAsia" w:ascii="Arial" w:hAnsi="Arial" w:cs="Arial"/>
          <w:b/>
          <w:sz w:val="22"/>
          <w:szCs w:val="22"/>
          <w:lang w:val="en-US" w:eastAsia="zh-CN"/>
        </w:rPr>
        <w:t>8825</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October 26</w:t>
      </w:r>
      <w:r>
        <w:rPr>
          <w:rFonts w:hint="eastAsia" w:ascii="Arial" w:hAnsi="Arial" w:cs="Arial"/>
          <w:b/>
          <w:sz w:val="22"/>
          <w:szCs w:val="22"/>
          <w:vertAlign w:val="superscript"/>
          <w:lang w:eastAsia="zh-CN"/>
        </w:rPr>
        <w:t>th</w:t>
      </w:r>
      <w:r>
        <w:rPr>
          <w:rFonts w:hint="eastAsia" w:ascii="Arial" w:hAnsi="Arial" w:cs="Arial"/>
          <w:b/>
          <w:sz w:val="22"/>
          <w:szCs w:val="22"/>
          <w:lang w:eastAsia="zh-CN"/>
        </w:rPr>
        <w:t xml:space="preserve"> - November 13</w:t>
      </w:r>
      <w:r>
        <w:rPr>
          <w:rFonts w:hint="eastAsia" w:ascii="Arial" w:hAnsi="Arial" w:cs="Arial"/>
          <w:b/>
          <w:sz w:val="22"/>
          <w:szCs w:val="22"/>
          <w:vertAlign w:val="superscript"/>
          <w:lang w:eastAsia="zh-CN"/>
        </w:rPr>
        <w:t>th</w:t>
      </w:r>
      <w:r>
        <w:rPr>
          <w:rFonts w:hint="eastAsia" w:ascii="Arial" w:hAnsi="Arial" w:cs="Arial"/>
          <w:b/>
          <w:sz w:val="22"/>
          <w:szCs w:val="22"/>
          <w:lang w:eastAsia="zh-CN"/>
        </w:rPr>
        <w:t>,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default"/>
          <w:lang w:val="en-US" w:eastAsia="zh-CN"/>
        </w:rPr>
      </w:pPr>
      <w:r>
        <w:rPr>
          <w:rFonts w:hint="eastAsia"/>
          <w:lang w:val="en-GB" w:eastAsia="zh-CN"/>
        </w:rPr>
        <w:t xml:space="preserve">In last meeting, the following agreements were reached on representative scenarios, parameters, and the </w:t>
      </w:r>
      <w:r>
        <w:rPr>
          <w:rFonts w:hint="eastAsia"/>
          <w:lang w:val="en-US" w:eastAsia="zh-CN"/>
        </w:rPr>
        <w:t xml:space="preserve">potential </w:t>
      </w:r>
      <w:r>
        <w:rPr>
          <w:rFonts w:hint="eastAsia"/>
          <w:lang w:val="en-GB" w:eastAsia="zh-CN"/>
        </w:rPr>
        <w:t xml:space="preserve">solutions for the propagation delay compensation enhancements [1]. In this contribution, </w:t>
      </w:r>
      <w:r>
        <w:rPr>
          <w:rFonts w:hint="eastAsia"/>
          <w:lang w:val="en-US" w:eastAsia="zh-CN"/>
        </w:rPr>
        <w:t>further discussion on the propagation delay compensation are present.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numPr>
                <w:ilvl w:val="0"/>
                <w:numId w:val="10"/>
              </w:numPr>
              <w:spacing w:before="120" w:line="280" w:lineRule="atLeast"/>
              <w:rPr>
                <w:rFonts w:ascii="New York" w:hAnsi="New York"/>
                <w:sz w:val="22"/>
              </w:rPr>
            </w:pPr>
            <w:r>
              <w:rPr>
                <w:rFonts w:ascii="New York" w:hAnsi="New York"/>
                <w:sz w:val="22"/>
              </w:rPr>
              <w:t xml:space="preserve">Take the following use cases as the representative use cases for further study on propagation delay compensation enhancements in Rel-17. </w:t>
            </w:r>
          </w:p>
          <w:tbl>
            <w:tblPr>
              <w:tblStyle w:val="50"/>
              <w:tblW w:w="4893" w:type="pct"/>
              <w:tblInd w:w="0" w:type="dxa"/>
              <w:tblLayout w:type="fixed"/>
              <w:tblCellMar>
                <w:top w:w="0" w:type="dxa"/>
                <w:left w:w="0" w:type="dxa"/>
                <w:bottom w:w="0" w:type="dxa"/>
                <w:right w:w="0" w:type="dxa"/>
              </w:tblCellMar>
            </w:tblPr>
            <w:tblGrid>
              <w:gridCol w:w="1690"/>
              <w:gridCol w:w="2337"/>
              <w:gridCol w:w="1672"/>
              <w:gridCol w:w="1564"/>
              <w:gridCol w:w="2170"/>
            </w:tblGrid>
            <w:tr>
              <w:tblPrEx>
                <w:tblCellMar>
                  <w:top w:w="0" w:type="dxa"/>
                  <w:left w:w="0" w:type="dxa"/>
                  <w:bottom w:w="0" w:type="dxa"/>
                  <w:right w:w="0" w:type="dxa"/>
                </w:tblCellMar>
              </w:tblPrEx>
              <w:trPr>
                <w:trHeight w:val="488" w:hRule="atLeast"/>
              </w:trPr>
              <w:tc>
                <w:tcPr>
                  <w:tcW w:w="895" w:type="pct"/>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tcPr>
                <w:p>
                  <w:pPr>
                    <w:keepNext/>
                    <w:jc w:val="center"/>
                    <w:rPr>
                      <w:b/>
                      <w:sz w:val="18"/>
                    </w:rPr>
                  </w:pPr>
                  <w:r>
                    <w:rPr>
                      <w:b/>
                      <w:sz w:val="18"/>
                    </w:rPr>
                    <w:t xml:space="preserve">User-specific clock synchronicity accuracy level </w:t>
                  </w:r>
                </w:p>
              </w:tc>
              <w:tc>
                <w:tcPr>
                  <w:tcW w:w="1239" w:type="pct"/>
                  <w:tcBorders>
                    <w:top w:val="single" w:color="auto" w:sz="8" w:space="0"/>
                    <w:left w:val="nil"/>
                    <w:bottom w:val="single" w:color="auto" w:sz="8" w:space="0"/>
                    <w:right w:val="single" w:color="auto" w:sz="8" w:space="0"/>
                    <w:tl2br w:val="nil"/>
                    <w:tr2bl w:val="nil"/>
                  </w:tcBorders>
                  <w:tcMar>
                    <w:top w:w="0" w:type="dxa"/>
                    <w:left w:w="108" w:type="dxa"/>
                    <w:bottom w:w="0" w:type="dxa"/>
                    <w:right w:w="108" w:type="dxa"/>
                  </w:tcMar>
                </w:tcPr>
                <w:p>
                  <w:pPr>
                    <w:keepNext/>
                    <w:jc w:val="center"/>
                    <w:rPr>
                      <w:b/>
                      <w:sz w:val="18"/>
                    </w:rPr>
                  </w:pPr>
                  <w:r>
                    <w:rPr>
                      <w:b/>
                      <w:sz w:val="18"/>
                    </w:rPr>
                    <w:t>Number of devices in one Communication group for clock synchronisation</w:t>
                  </w:r>
                </w:p>
              </w:tc>
              <w:tc>
                <w:tcPr>
                  <w:tcW w:w="886" w:type="pct"/>
                  <w:tcBorders>
                    <w:top w:val="single" w:color="auto" w:sz="8" w:space="0"/>
                    <w:left w:val="nil"/>
                    <w:bottom w:val="single" w:color="auto" w:sz="8" w:space="0"/>
                    <w:right w:val="single" w:color="auto" w:sz="8" w:space="0"/>
                    <w:tl2br w:val="nil"/>
                    <w:tr2bl w:val="nil"/>
                  </w:tcBorders>
                  <w:tcMar>
                    <w:top w:w="0" w:type="dxa"/>
                    <w:left w:w="108" w:type="dxa"/>
                    <w:bottom w:w="0" w:type="dxa"/>
                    <w:right w:w="108" w:type="dxa"/>
                  </w:tcMar>
                </w:tcPr>
                <w:p>
                  <w:pPr>
                    <w:keepNext/>
                    <w:jc w:val="center"/>
                    <w:rPr>
                      <w:b/>
                      <w:sz w:val="18"/>
                    </w:rPr>
                  </w:pPr>
                  <w:r>
                    <w:rPr>
                      <w:b/>
                      <w:sz w:val="18"/>
                    </w:rPr>
                    <w:t xml:space="preserve">5GS synchronicity budget requirement </w:t>
                  </w:r>
                </w:p>
                <w:p>
                  <w:pPr>
                    <w:keepNext/>
                    <w:jc w:val="center"/>
                    <w:rPr>
                      <w:b/>
                      <w:sz w:val="18"/>
                    </w:rPr>
                  </w:pPr>
                  <w:r>
                    <w:rPr>
                      <w:b/>
                      <w:sz w:val="18"/>
                    </w:rPr>
                    <w:t>(note)</w:t>
                  </w:r>
                </w:p>
              </w:tc>
              <w:tc>
                <w:tcPr>
                  <w:tcW w:w="829" w:type="pct"/>
                  <w:tcBorders>
                    <w:top w:val="single" w:color="auto" w:sz="8" w:space="0"/>
                    <w:left w:val="nil"/>
                    <w:bottom w:val="single" w:color="auto" w:sz="8" w:space="0"/>
                    <w:right w:val="single" w:color="auto" w:sz="8" w:space="0"/>
                    <w:tl2br w:val="nil"/>
                    <w:tr2bl w:val="nil"/>
                  </w:tcBorders>
                  <w:tcMar>
                    <w:top w:w="0" w:type="dxa"/>
                    <w:left w:w="108" w:type="dxa"/>
                    <w:bottom w:w="0" w:type="dxa"/>
                    <w:right w:w="108" w:type="dxa"/>
                  </w:tcMar>
                </w:tcPr>
                <w:p>
                  <w:pPr>
                    <w:keepNext/>
                    <w:jc w:val="center"/>
                    <w:rPr>
                      <w:b/>
                      <w:sz w:val="18"/>
                    </w:rPr>
                  </w:pPr>
                  <w:r>
                    <w:rPr>
                      <w:b/>
                      <w:sz w:val="18"/>
                    </w:rPr>
                    <w:t xml:space="preserve">Service area </w:t>
                  </w:r>
                </w:p>
              </w:tc>
              <w:tc>
                <w:tcPr>
                  <w:tcW w:w="1150" w:type="pct"/>
                  <w:tcBorders>
                    <w:top w:val="single" w:color="auto" w:sz="8" w:space="0"/>
                    <w:left w:val="nil"/>
                    <w:bottom w:val="single" w:color="auto" w:sz="8" w:space="0"/>
                    <w:right w:val="single" w:color="auto" w:sz="8" w:space="0"/>
                    <w:tl2br w:val="nil"/>
                    <w:tr2bl w:val="nil"/>
                  </w:tcBorders>
                  <w:tcMar>
                    <w:top w:w="0" w:type="dxa"/>
                    <w:left w:w="108" w:type="dxa"/>
                    <w:bottom w:w="0" w:type="dxa"/>
                    <w:right w:w="108" w:type="dxa"/>
                  </w:tcMar>
                </w:tcPr>
                <w:p>
                  <w:pPr>
                    <w:keepNext/>
                    <w:jc w:val="center"/>
                    <w:rPr>
                      <w:b/>
                      <w:sz w:val="18"/>
                    </w:rPr>
                  </w:pPr>
                  <w:r>
                    <w:rPr>
                      <w:b/>
                      <w:sz w:val="18"/>
                    </w:rPr>
                    <w:t>Scenario</w:t>
                  </w:r>
                </w:p>
              </w:tc>
            </w:tr>
            <w:tr>
              <w:tblPrEx>
                <w:tblCellMar>
                  <w:top w:w="0" w:type="dxa"/>
                  <w:left w:w="0" w:type="dxa"/>
                  <w:bottom w:w="0" w:type="dxa"/>
                  <w:right w:w="0" w:type="dxa"/>
                </w:tblCellMar>
              </w:tblPrEx>
              <w:trPr>
                <w:trHeight w:val="494" w:hRule="atLeast"/>
              </w:trPr>
              <w:tc>
                <w:tcPr>
                  <w:tcW w:w="895" w:type="pct"/>
                  <w:tcBorders>
                    <w:top w:val="nil"/>
                    <w:left w:val="single" w:color="auto" w:sz="8" w:space="0"/>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2</w:t>
                  </w:r>
                </w:p>
              </w:tc>
              <w:tc>
                <w:tcPr>
                  <w:tcW w:w="1239"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Up to 300 UEs</w:t>
                  </w:r>
                </w:p>
              </w:tc>
              <w:tc>
                <w:tcPr>
                  <w:tcW w:w="886"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 xml:space="preserve">≤900 ns          </w:t>
                  </w:r>
                </w:p>
              </w:tc>
              <w:tc>
                <w:tcPr>
                  <w:tcW w:w="829"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 1000 m x 100 m</w:t>
                  </w:r>
                </w:p>
              </w:tc>
              <w:tc>
                <w:tcPr>
                  <w:tcW w:w="1150"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numPr>
                      <w:ilvl w:val="0"/>
                      <w:numId w:val="11"/>
                    </w:numPr>
                    <w:snapToGrid w:val="0"/>
                    <w:spacing w:after="120"/>
                    <w:rPr>
                      <w:sz w:val="18"/>
                    </w:rPr>
                  </w:pPr>
                  <w:r>
                    <w:rPr>
                      <w:sz w:val="18"/>
                    </w:rPr>
                    <w:t>Control-to-control communication for industrial controller</w:t>
                  </w:r>
                </w:p>
              </w:tc>
            </w:tr>
            <w:tr>
              <w:tblPrEx>
                <w:tblCellMar>
                  <w:top w:w="0" w:type="dxa"/>
                  <w:left w:w="0" w:type="dxa"/>
                  <w:bottom w:w="0" w:type="dxa"/>
                  <w:right w:w="0" w:type="dxa"/>
                </w:tblCellMar>
              </w:tblPrEx>
              <w:trPr>
                <w:trHeight w:val="488" w:hRule="atLeast"/>
              </w:trPr>
              <w:tc>
                <w:tcPr>
                  <w:tcW w:w="895" w:type="pct"/>
                  <w:tcBorders>
                    <w:top w:val="nil"/>
                    <w:left w:val="single" w:color="auto" w:sz="8" w:space="0"/>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4</w:t>
                  </w:r>
                </w:p>
              </w:tc>
              <w:tc>
                <w:tcPr>
                  <w:tcW w:w="1239"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Up to 100 UEs</w:t>
                  </w:r>
                </w:p>
              </w:tc>
              <w:tc>
                <w:tcPr>
                  <w:tcW w:w="886"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rPr>
                      <w:sz w:val="18"/>
                    </w:rPr>
                  </w:pPr>
                  <w:r>
                    <w:rPr>
                      <w:sz w:val="18"/>
                    </w:rPr>
                    <w:t>&lt;1  µs</w:t>
                  </w:r>
                </w:p>
              </w:tc>
              <w:tc>
                <w:tcPr>
                  <w:tcW w:w="829"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rPr>
                      <w:color w:val="000000"/>
                      <w:sz w:val="18"/>
                    </w:rPr>
                  </w:pPr>
                  <w:r>
                    <w:rPr>
                      <w:color w:val="000000"/>
                      <w:sz w:val="18"/>
                    </w:rPr>
                    <w:t>&lt; 20 km</w:t>
                  </w:r>
                  <w:r>
                    <w:rPr>
                      <w:color w:val="000000"/>
                      <w:sz w:val="18"/>
                      <w:vertAlign w:val="superscript"/>
                    </w:rPr>
                    <w:t>2</w:t>
                  </w:r>
                </w:p>
              </w:tc>
              <w:tc>
                <w:tcPr>
                  <w:tcW w:w="1150" w:type="pct"/>
                  <w:tcBorders>
                    <w:top w:val="nil"/>
                    <w:left w:val="nil"/>
                    <w:bottom w:val="single" w:color="auto" w:sz="8" w:space="0"/>
                    <w:right w:val="single" w:color="auto" w:sz="8" w:space="0"/>
                    <w:tl2br w:val="nil"/>
                    <w:tr2bl w:val="nil"/>
                  </w:tcBorders>
                  <w:tcMar>
                    <w:top w:w="0" w:type="dxa"/>
                    <w:left w:w="108" w:type="dxa"/>
                    <w:bottom w:w="0" w:type="dxa"/>
                    <w:right w:w="108" w:type="dxa"/>
                  </w:tcMar>
                </w:tcPr>
                <w:p>
                  <w:pPr>
                    <w:keepNext/>
                    <w:numPr>
                      <w:ilvl w:val="0"/>
                      <w:numId w:val="11"/>
                    </w:numPr>
                    <w:snapToGrid w:val="0"/>
                    <w:spacing w:after="120"/>
                    <w:rPr>
                      <w:sz w:val="18"/>
                    </w:rPr>
                  </w:pPr>
                  <w:r>
                    <w:rPr>
                      <w:sz w:val="18"/>
                    </w:rPr>
                    <w:t>Smart Grid: synchronicity between PMUs</w:t>
                  </w:r>
                </w:p>
              </w:tc>
            </w:tr>
          </w:tbl>
          <w:p>
            <w:pPr>
              <w:spacing w:before="120" w:line="280" w:lineRule="atLeast"/>
              <w:rPr>
                <w:rFonts w:ascii="New York" w:hAnsi="New York"/>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numPr>
                <w:ilvl w:val="0"/>
                <w:numId w:val="10"/>
              </w:numPr>
              <w:snapToGrid w:val="0"/>
              <w:spacing w:before="120" w:after="120" w:line="280" w:lineRule="atLeast"/>
              <w:rPr>
                <w:rFonts w:ascii="New York" w:hAnsi="New York"/>
                <w:sz w:val="22"/>
              </w:rPr>
            </w:pPr>
            <w:r>
              <w:rPr>
                <w:rFonts w:ascii="New York" w:hAnsi="New York"/>
                <w:sz w:val="22"/>
              </w:rPr>
              <w:fldChar w:fldCharType="begin"/>
            </w:r>
            <w:r>
              <w:rPr>
                <w:rFonts w:ascii="New York" w:hAnsi="New York"/>
                <w:sz w:val="22"/>
              </w:rPr>
              <w:instrText xml:space="preserve"> QUOTE </w:instrText>
            </w:r>
            <w:r>
              <w:rPr>
                <w:rFonts w:ascii="New York" w:hAnsi="New York"/>
                <w:position w:val="-5"/>
                <w:sz w:val="22"/>
              </w:rPr>
              <w:drawing>
                <wp:inline distT="0" distB="0" distL="114300" distR="114300">
                  <wp:extent cx="904875" cy="161290"/>
                  <wp:effectExtent l="0" t="0" r="9525" b="1143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6"/>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904875" cy="161290"/>
                          </a:xfrm>
                          <a:prstGeom prst="rect">
                            <a:avLst/>
                          </a:prstGeom>
                          <a:noFill/>
                          <a:ln>
                            <a:noFill/>
                          </a:ln>
                        </pic:spPr>
                      </pic:pic>
                    </a:graphicData>
                  </a:graphic>
                </wp:inline>
              </w:drawing>
            </w:r>
            <w:r>
              <w:rPr>
                <w:rFonts w:ascii="New York" w:hAnsi="New York"/>
                <w:sz w:val="22"/>
              </w:rPr>
              <w:instrText xml:space="preserve"> </w:instrText>
            </w:r>
            <w:r>
              <w:rPr>
                <w:rFonts w:ascii="New York" w:hAnsi="New York"/>
                <w:sz w:val="22"/>
              </w:rPr>
              <w:fldChar w:fldCharType="end"/>
            </w:r>
            <w:r>
              <w:rPr>
                <w:rFonts w:ascii="New York" w:hAnsi="New York"/>
                <w:sz w:val="22"/>
              </w:rPr>
              <w:sym w:font="Symbol" w:char="00B1"/>
            </w:r>
            <w:r>
              <w:rPr>
                <w:rFonts w:ascii="New York" w:hAnsi="New York"/>
                <w:sz w:val="22"/>
              </w:rPr>
              <w:t>8*64*T</w:t>
            </w:r>
            <w:r>
              <w:rPr>
                <w:rFonts w:ascii="New York" w:hAnsi="New York"/>
                <w:sz w:val="22"/>
                <w:vertAlign w:val="subscript"/>
              </w:rPr>
              <w:t>c</w:t>
            </w:r>
            <w:r>
              <w:rPr>
                <w:rFonts w:ascii="New York" w:hAnsi="New York"/>
                <w:sz w:val="22"/>
              </w:rPr>
              <w:t>/2</w:t>
            </w:r>
            <w:r>
              <w:rPr>
                <w:rFonts w:ascii="New York" w:hAnsi="New York"/>
                <w:sz w:val="22"/>
                <w:vertAlign w:val="superscript"/>
              </w:rPr>
              <w:sym w:font="Symbol" w:char="006D"/>
            </w:r>
            <w:r>
              <w:rPr>
                <w:rFonts w:ascii="New York" w:hAnsi="New York"/>
                <w:sz w:val="22"/>
              </w:rPr>
              <w:t xml:space="preserve"> as the TA indicating error is assumed in the evaluation.</w:t>
            </w:r>
          </w:p>
          <w:p>
            <w:pPr>
              <w:spacing w:before="120" w:line="280" w:lineRule="atLeast"/>
              <w:rPr>
                <w:rFonts w:ascii="New York" w:hAnsi="New York"/>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For 5GS synchronicity budget requirement, </w:t>
            </w:r>
          </w:p>
          <w:p>
            <w:pPr>
              <w:numPr>
                <w:ilvl w:val="0"/>
                <w:numId w:val="12"/>
              </w:numPr>
              <w:snapToGrid w:val="0"/>
              <w:spacing w:before="120" w:after="120" w:line="252" w:lineRule="auto"/>
              <w:rPr>
                <w:rFonts w:ascii="New York" w:hAnsi="New York"/>
                <w:sz w:val="22"/>
              </w:rPr>
            </w:pPr>
            <w:r>
              <w:rPr>
                <w:rFonts w:ascii="New York" w:hAnsi="New York"/>
                <w:sz w:val="22"/>
              </w:rPr>
              <w:t xml:space="preserve">One Uu interface is assumed for smart grid. </w:t>
            </w:r>
          </w:p>
          <w:p>
            <w:pPr>
              <w:numPr>
                <w:ilvl w:val="0"/>
                <w:numId w:val="12"/>
              </w:numPr>
              <w:snapToGrid w:val="0"/>
              <w:spacing w:before="120" w:after="120" w:line="252" w:lineRule="auto"/>
              <w:rPr>
                <w:rFonts w:ascii="New York" w:hAnsi="New York"/>
                <w:color w:val="1F497D"/>
                <w:sz w:val="22"/>
              </w:rPr>
            </w:pPr>
            <w:r>
              <w:rPr>
                <w:rFonts w:ascii="New York" w:hAnsi="New York"/>
                <w:sz w:val="22"/>
              </w:rPr>
              <w:t>Two Uu interfaces are assumed for control-to-control.</w:t>
            </w:r>
          </w:p>
          <w:p>
            <w:pPr>
              <w:spacing w:before="120" w:line="280" w:lineRule="atLeast"/>
              <w:rPr>
                <w:rFonts w:ascii="New York" w:hAnsi="New York"/>
                <w:color w:val="1F497D"/>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For BS transmit timing error, further study the following three options: </w:t>
            </w:r>
          </w:p>
          <w:p>
            <w:pPr>
              <w:numPr>
                <w:ilvl w:val="0"/>
                <w:numId w:val="12"/>
              </w:numPr>
              <w:snapToGrid w:val="0"/>
              <w:spacing w:before="120" w:after="120" w:line="252" w:lineRule="auto"/>
              <w:rPr>
                <w:rFonts w:ascii="New York" w:hAnsi="New York"/>
                <w:sz w:val="22"/>
              </w:rPr>
            </w:pPr>
            <w:r>
              <w:rPr>
                <w:rFonts w:ascii="New York" w:hAnsi="New York"/>
                <w:b/>
                <w:sz w:val="22"/>
              </w:rPr>
              <w:t>Option 1</w:t>
            </w:r>
            <w:r>
              <w:rPr>
                <w:rFonts w:ascii="New York" w:hAnsi="New York"/>
                <w:sz w:val="22"/>
              </w:rPr>
              <w:t>:</w:t>
            </w:r>
            <w:r>
              <w:rPr>
                <w:rFonts w:ascii="New York" w:hAnsi="New York"/>
                <w:b/>
                <w:color w:val="000000"/>
                <w:sz w:val="22"/>
              </w:rPr>
              <w:t xml:space="preserve"> </w:t>
            </w:r>
            <w:r>
              <w:rPr>
                <w:rFonts w:ascii="New York" w:hAnsi="New York"/>
                <w:color w:val="000000"/>
                <w:sz w:val="22"/>
              </w:rPr>
              <w:t>65 ns</w:t>
            </w:r>
            <w:r>
              <w:rPr>
                <w:rFonts w:ascii="New York" w:hAnsi="New York"/>
                <w:sz w:val="22"/>
              </w:rPr>
              <w:t xml:space="preserve"> </w:t>
            </w:r>
          </w:p>
          <w:p>
            <w:pPr>
              <w:numPr>
                <w:ilvl w:val="0"/>
                <w:numId w:val="12"/>
              </w:numPr>
              <w:snapToGrid w:val="0"/>
              <w:spacing w:before="120" w:after="120" w:line="252" w:lineRule="auto"/>
              <w:rPr>
                <w:rFonts w:ascii="New York" w:hAnsi="New York"/>
                <w:sz w:val="22"/>
              </w:rPr>
            </w:pPr>
            <w:r>
              <w:rPr>
                <w:rFonts w:ascii="New York" w:hAnsi="New York"/>
                <w:b/>
                <w:sz w:val="22"/>
              </w:rPr>
              <w:t>Option 2</w:t>
            </w:r>
            <w:r>
              <w:rPr>
                <w:rFonts w:ascii="New York" w:hAnsi="New York"/>
                <w:sz w:val="22"/>
              </w:rPr>
              <w:t>:±130ns for the indoor scenario and ±200ns for the smart grid scenario</w:t>
            </w:r>
          </w:p>
          <w:p>
            <w:pPr>
              <w:numPr>
                <w:ilvl w:val="0"/>
                <w:numId w:val="12"/>
              </w:numPr>
              <w:snapToGrid w:val="0"/>
              <w:spacing w:before="120" w:after="120" w:line="252" w:lineRule="auto"/>
              <w:rPr>
                <w:rFonts w:ascii="New York" w:hAnsi="New York"/>
                <w:sz w:val="22"/>
              </w:rPr>
            </w:pPr>
            <w:r>
              <w:rPr>
                <w:rFonts w:ascii="New York" w:hAnsi="New York"/>
                <w:b/>
                <w:sz w:val="22"/>
              </w:rPr>
              <w:t>Option 3</w:t>
            </w:r>
            <w:r>
              <w:rPr>
                <w:rFonts w:ascii="New York" w:hAnsi="New York"/>
                <w:sz w:val="22"/>
              </w:rPr>
              <w:t xml:space="preserve">:82.5 </w:t>
            </w:r>
            <w:r>
              <w:rPr>
                <w:rFonts w:ascii="New York" w:hAnsi="New York"/>
                <w:color w:val="000000"/>
                <w:sz w:val="22"/>
              </w:rPr>
              <w:t>ns</w:t>
            </w:r>
          </w:p>
          <w:p>
            <w:pPr>
              <w:spacing w:before="120" w:line="280" w:lineRule="atLeast"/>
              <w:rPr>
                <w:rFonts w:ascii="New York" w:hAnsi="New York"/>
                <w:color w:val="1F497D"/>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pacing w:before="120" w:line="280" w:lineRule="atLeast"/>
              <w:rPr>
                <w:rFonts w:ascii="New York" w:hAnsi="New York"/>
                <w:color w:val="1F497D"/>
                <w:sz w:val="22"/>
              </w:rPr>
            </w:pPr>
            <w:r>
              <w:rPr>
                <w:rFonts w:ascii="New York" w:hAnsi="New York"/>
                <w:color w:val="000000"/>
                <w:sz w:val="22"/>
              </w:rPr>
              <w:t xml:space="preserve">The value defined in Table 7.1.2-1 for initial transmit timing error (Te) in TS 38.133 should be considered for evaluation of the time synchronization.  </w:t>
            </w:r>
          </w:p>
          <w:p>
            <w:pPr>
              <w:spacing w:before="120" w:line="280" w:lineRule="atLeast"/>
              <w:rPr>
                <w:rFonts w:ascii="New York" w:hAnsi="New York"/>
                <w:color w:val="1F497D"/>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Asymmetry between downlink and uplink channel for control-to-control scenario is not considered.  </w:t>
            </w:r>
          </w:p>
          <w:p>
            <w:pPr>
              <w:spacing w:before="120" w:line="280" w:lineRule="atLeast"/>
              <w:rPr>
                <w:rFonts w:ascii="New York" w:hAnsi="New York"/>
                <w:color w:val="1F497D"/>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100 ns is assumed for BS detecting error.  </w:t>
            </w:r>
          </w:p>
          <w:p>
            <w:pPr>
              <w:spacing w:before="120" w:line="280" w:lineRule="atLeast"/>
              <w:rPr>
                <w:rFonts w:ascii="New York" w:hAnsi="New York"/>
                <w:color w:val="1F497D"/>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Timing advance adjustment accuracy defined in Table 7.3.2.2-1 in TS 38.133 is assumed for evaluation of the time synchronization.   </w:t>
            </w: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Both 15 kHz and 30 kHz are assumed for both control-to-control and smart grid for evaluation of the time synchronization.   </w:t>
            </w:r>
          </w:p>
          <w:p>
            <w:pPr>
              <w:spacing w:before="120" w:line="280" w:lineRule="atLeast"/>
              <w:rPr>
                <w:rFonts w:ascii="New York" w:hAnsi="New York"/>
                <w:sz w:val="22"/>
              </w:rPr>
            </w:pPr>
          </w:p>
          <w:p>
            <w:pPr>
              <w:spacing w:before="120" w:line="280" w:lineRule="atLeast"/>
              <w:rPr>
                <w:rFonts w:ascii="New York" w:hAnsi="New York"/>
                <w:sz w:val="22"/>
              </w:rPr>
            </w:pPr>
            <w:r>
              <w:rPr>
                <w:rFonts w:ascii="New York" w:hAnsi="New York"/>
                <w:sz w:val="22"/>
                <w:highlight w:val="green"/>
              </w:rPr>
              <w:t>Agreements</w:t>
            </w:r>
            <w:r>
              <w:rPr>
                <w:rFonts w:ascii="New York" w:hAnsi="New York"/>
                <w:sz w:val="22"/>
              </w:rPr>
              <w:t>:</w:t>
            </w:r>
          </w:p>
          <w:p>
            <w:pPr>
              <w:snapToGrid w:val="0"/>
              <w:spacing w:before="120" w:after="120" w:line="280" w:lineRule="atLeast"/>
              <w:rPr>
                <w:rFonts w:ascii="New York" w:hAnsi="New York"/>
                <w:sz w:val="22"/>
              </w:rPr>
            </w:pPr>
            <w:r>
              <w:rPr>
                <w:rFonts w:ascii="New York" w:hAnsi="New York"/>
                <w:color w:val="000000"/>
                <w:sz w:val="22"/>
              </w:rPr>
              <w:t xml:space="preserve">Send an LS to RAN2 with the content including      </w:t>
            </w:r>
          </w:p>
          <w:p>
            <w:pPr>
              <w:numPr>
                <w:ilvl w:val="0"/>
                <w:numId w:val="13"/>
              </w:numPr>
              <w:snapToGrid w:val="0"/>
              <w:spacing w:before="120" w:beforeLines="50" w:after="240" w:line="280" w:lineRule="atLeast"/>
              <w:ind w:left="1434" w:hanging="357"/>
              <w:rPr>
                <w:rFonts w:ascii="New York" w:hAnsi="New York"/>
                <w:sz w:val="22"/>
              </w:rPr>
            </w:pPr>
            <w:r>
              <w:rPr>
                <w:rFonts w:ascii="New York" w:hAnsi="New York"/>
                <w:sz w:val="22"/>
              </w:rPr>
              <w:t>Inform RAN2 the two representative use cases concluded in RAN1 for further study;</w:t>
            </w:r>
          </w:p>
          <w:p>
            <w:pPr>
              <w:numPr>
                <w:ilvl w:val="0"/>
                <w:numId w:val="13"/>
              </w:numPr>
              <w:snapToGrid w:val="0"/>
              <w:spacing w:before="120" w:beforeLines="50" w:after="240" w:line="280" w:lineRule="atLeast"/>
              <w:ind w:left="1434" w:hanging="357"/>
              <w:rPr>
                <w:rFonts w:ascii="New York" w:hAnsi="New York"/>
                <w:sz w:val="22"/>
              </w:rPr>
            </w:pPr>
            <w:r>
              <w:rPr>
                <w:rFonts w:ascii="New York" w:hAnsi="New York"/>
                <w:sz w:val="22"/>
              </w:rPr>
              <w:t>Ask RAN2 for input about Uu interface error budget for each of the two use cases;</w:t>
            </w:r>
          </w:p>
          <w:p>
            <w:pPr>
              <w:spacing w:before="120" w:line="280" w:lineRule="atLeast"/>
              <w:rPr>
                <w:rFonts w:ascii="New York" w:hAnsi="New York"/>
                <w:sz w:val="22"/>
              </w:rPr>
            </w:pPr>
          </w:p>
          <w:p>
            <w:pPr>
              <w:spacing w:before="120" w:line="280" w:lineRule="atLeast"/>
              <w:rPr>
                <w:rFonts w:ascii="New York" w:hAnsi="New York"/>
                <w:sz w:val="22"/>
                <w:highlight w:val="green"/>
              </w:rPr>
            </w:pPr>
            <w:r>
              <w:rPr>
                <w:rFonts w:ascii="New York" w:hAnsi="New York"/>
                <w:sz w:val="22"/>
                <w:highlight w:val="green"/>
              </w:rPr>
              <w:t>Agreements:</w:t>
            </w:r>
          </w:p>
          <w:p>
            <w:pPr>
              <w:snapToGrid w:val="0"/>
              <w:spacing w:before="120" w:after="120" w:line="280" w:lineRule="atLeast"/>
              <w:rPr>
                <w:rFonts w:ascii="New York" w:hAnsi="New York"/>
                <w:sz w:val="22"/>
              </w:rPr>
            </w:pPr>
            <w:r>
              <w:rPr>
                <w:rFonts w:ascii="Times New Roman" w:hAnsi="Times New Roman"/>
                <w:sz w:val="22"/>
                <w:lang w:eastAsia="en-US"/>
              </w:rPr>
              <w:t>T</w:t>
            </w:r>
            <w:r>
              <w:rPr>
                <w:rFonts w:ascii="Times New Roman" w:hAnsi="Times New Roman"/>
                <w:sz w:val="22"/>
              </w:rPr>
              <w:t xml:space="preserve">he following options for propagation delay compensation </w:t>
            </w:r>
            <w:r>
              <w:rPr>
                <w:rFonts w:ascii="Times New Roman" w:hAnsi="Times New Roman"/>
                <w:sz w:val="22"/>
                <w:lang w:eastAsia="en-US"/>
              </w:rPr>
              <w:t>are further studied in RAN1</w:t>
            </w:r>
            <w:r>
              <w:rPr>
                <w:rFonts w:ascii="Times New Roman" w:hAnsi="Times New Roman"/>
                <w:sz w:val="22"/>
              </w:rPr>
              <w:t xml:space="preserve">  </w:t>
            </w:r>
          </w:p>
          <w:p>
            <w:pPr>
              <w:numPr>
                <w:ilvl w:val="0"/>
                <w:numId w:val="13"/>
              </w:numPr>
              <w:snapToGrid w:val="0"/>
              <w:spacing w:before="120" w:after="120" w:line="280" w:lineRule="atLeast"/>
              <w:rPr>
                <w:rFonts w:ascii="New York" w:hAnsi="New York"/>
                <w:sz w:val="22"/>
              </w:rPr>
            </w:pPr>
            <w:r>
              <w:rPr>
                <w:rFonts w:ascii="Times New Roman" w:hAnsi="Times New Roman"/>
                <w:b/>
                <w:sz w:val="22"/>
              </w:rPr>
              <w:t>Option 1</w:t>
            </w:r>
            <w:r>
              <w:rPr>
                <w:rFonts w:ascii="Times New Roman" w:hAnsi="Times New Roman"/>
                <w:sz w:val="22"/>
              </w:rPr>
              <w:t>: TA-based propagation delay</w:t>
            </w:r>
          </w:p>
          <w:p>
            <w:pPr>
              <w:numPr>
                <w:ilvl w:val="1"/>
                <w:numId w:val="13"/>
              </w:numPr>
              <w:snapToGrid w:val="0"/>
              <w:spacing w:before="120" w:beforeLines="50" w:after="240" w:line="280" w:lineRule="atLeast"/>
              <w:ind w:left="2154" w:hanging="357"/>
              <w:rPr>
                <w:rFonts w:ascii="New York" w:hAnsi="New York"/>
                <w:sz w:val="22"/>
              </w:rPr>
            </w:pPr>
            <w:r>
              <w:rPr>
                <w:rFonts w:ascii="Times New Roman" w:hAnsi="Times New Roman"/>
                <w:b/>
                <w:sz w:val="22"/>
              </w:rPr>
              <w:t>Option 1a</w:t>
            </w:r>
            <w:r>
              <w:rPr>
                <w:rFonts w:ascii="Times New Roman" w:hAnsi="Times New Roman"/>
                <w:sz w:val="22"/>
              </w:rPr>
              <w:t>: Propagation delay estimation based on legacy Timing advance (potentially with enhanced TA indication granularity).</w:t>
            </w:r>
          </w:p>
          <w:p>
            <w:pPr>
              <w:numPr>
                <w:ilvl w:val="1"/>
                <w:numId w:val="13"/>
              </w:numPr>
              <w:snapToGrid w:val="0"/>
              <w:spacing w:before="120" w:beforeLines="50" w:after="120" w:line="280" w:lineRule="atLeast"/>
              <w:ind w:left="2160"/>
              <w:rPr>
                <w:rFonts w:ascii="New York" w:hAnsi="New York"/>
                <w:sz w:val="22"/>
              </w:rPr>
            </w:pPr>
            <w:r>
              <w:rPr>
                <w:rFonts w:ascii="Times New Roman" w:hAnsi="Times New Roman"/>
                <w:b/>
                <w:sz w:val="22"/>
              </w:rPr>
              <w:t>Option 1b</w:t>
            </w:r>
            <w:r>
              <w:rPr>
                <w:rFonts w:ascii="Times New Roman" w:hAnsi="Times New Roman"/>
                <w:sz w:val="22"/>
              </w:rPr>
              <w:t>: Propagation delay estimation based on timing advanced enhanced for time synchronization (as 1a but with updated RAN4 requirements to TA adjustment error and Te)</w:t>
            </w:r>
          </w:p>
          <w:p>
            <w:pPr>
              <w:numPr>
                <w:ilvl w:val="1"/>
                <w:numId w:val="13"/>
              </w:numPr>
              <w:snapToGrid w:val="0"/>
              <w:spacing w:before="120" w:beforeLines="50" w:after="120" w:line="280" w:lineRule="atLeast"/>
              <w:ind w:left="2160"/>
              <w:rPr>
                <w:rFonts w:ascii="New York" w:hAnsi="New York"/>
                <w:sz w:val="22"/>
              </w:rPr>
            </w:pPr>
            <w:r>
              <w:rPr>
                <w:rFonts w:ascii="Times New Roman" w:hAnsi="Times New Roman"/>
                <w:b/>
                <w:sz w:val="22"/>
              </w:rPr>
              <w:t xml:space="preserve">Option 1c: </w:t>
            </w:r>
            <w:r>
              <w:rPr>
                <w:rFonts w:ascii="Times New Roman" w:hAnsi="Times New Roman"/>
                <w:sz w:val="22"/>
              </w:rPr>
              <w:t>Propagation delay estimation based on a new dedicated signaling with finer delay compensation granularity (Separated signaling from TA so that TA procedure is not affected)</w:t>
            </w:r>
          </w:p>
          <w:p>
            <w:pPr>
              <w:numPr>
                <w:ilvl w:val="0"/>
                <w:numId w:val="13"/>
              </w:numPr>
              <w:snapToGrid w:val="0"/>
              <w:spacing w:before="120" w:after="120" w:line="280" w:lineRule="atLeast"/>
              <w:ind w:left="714" w:hanging="357"/>
              <w:rPr>
                <w:rFonts w:ascii="New York" w:hAnsi="New York"/>
                <w:sz w:val="22"/>
              </w:rPr>
            </w:pPr>
            <w:r>
              <w:rPr>
                <w:rFonts w:ascii="Times New Roman" w:hAnsi="Times New Roman"/>
                <w:b/>
                <w:sz w:val="22"/>
              </w:rPr>
              <w:t>Option 2</w:t>
            </w:r>
            <w:r>
              <w:rPr>
                <w:rFonts w:ascii="Times New Roman" w:hAnsi="Times New Roman"/>
                <w:sz w:val="22"/>
              </w:rPr>
              <w:t>: RTT based delay compensation:</w:t>
            </w:r>
          </w:p>
          <w:p>
            <w:pPr>
              <w:numPr>
                <w:ilvl w:val="1"/>
                <w:numId w:val="13"/>
              </w:numPr>
              <w:snapToGrid w:val="0"/>
              <w:spacing w:before="120" w:beforeLines="50" w:after="120" w:line="280" w:lineRule="atLeast"/>
              <w:ind w:left="2160"/>
              <w:rPr>
                <w:rFonts w:ascii="New York" w:hAnsi="New York"/>
                <w:lang w:val="en-GB"/>
              </w:rPr>
            </w:pPr>
            <w:r>
              <w:rPr>
                <w:rFonts w:ascii="Times New Roman" w:hAnsi="Times New Roman"/>
                <w:sz w:val="22"/>
              </w:rPr>
              <w:t xml:space="preserve">Propagation delay estimation based on an RAN managed Rx-Tx procedure intended for time synchronization (FFS to expand or separate procedure/signaling to positioning). </w:t>
            </w:r>
          </w:p>
        </w:tc>
      </w:tr>
    </w:tbl>
    <w:p>
      <w:pPr>
        <w:rPr>
          <w:rFonts w:hint="eastAsia"/>
          <w:lang w:val="en-GB" w:eastAsia="zh-CN"/>
        </w:rPr>
      </w:pPr>
    </w:p>
    <w:p>
      <w:pPr>
        <w:pStyle w:val="2"/>
        <w:rPr>
          <w:lang w:eastAsia="zh-CN"/>
        </w:rPr>
      </w:pPr>
      <w:r>
        <w:rPr>
          <w:lang w:eastAsia="zh-CN"/>
        </w:rPr>
        <w:t>Discussion</w:t>
      </w:r>
    </w:p>
    <w:p>
      <w:pPr>
        <w:rPr>
          <w:rFonts w:hint="eastAsia"/>
          <w:lang w:eastAsia="zh-CN"/>
        </w:rPr>
      </w:pPr>
      <w:r>
        <w:rPr>
          <w:rFonts w:hint="eastAsia"/>
          <w:lang w:eastAsia="zh-CN"/>
        </w:rPr>
        <w:t xml:space="preserve">The network sends the reference time to the UE. The reference time is the time when the network sends the indicated or defined reference point. When the UE receives the reference time from the network, the UE can get the receiving time of the reference point by adding estimated propagation delay to the </w:t>
      </w:r>
      <w:r>
        <w:rPr>
          <w:rFonts w:hint="eastAsia"/>
          <w:lang w:val="en-US" w:eastAsia="zh-CN"/>
        </w:rPr>
        <w:t xml:space="preserve">indicated </w:t>
      </w:r>
      <w:r>
        <w:rPr>
          <w:rFonts w:hint="eastAsia"/>
          <w:lang w:eastAsia="zh-CN"/>
        </w:rPr>
        <w:t>reference time. The receiving time is the time when the UE receives the reference point. In general, the estimated propagation delay is half of the TA. Therefore, the accuracy of the calculated receiving time, as known as the accuracy of the Uu interface, can be reflected by the time offset between the calculated receiving time and the actual time when the UE receives the reference point.</w:t>
      </w:r>
    </w:p>
    <w:p>
      <w:pPr>
        <w:rPr>
          <w:rFonts w:hint="eastAsia"/>
          <w:lang w:eastAsia="zh-CN"/>
        </w:rPr>
      </w:pPr>
      <w:r>
        <w:rPr>
          <w:rFonts w:hint="eastAsia"/>
          <w:lang w:eastAsia="zh-CN"/>
        </w:rPr>
        <w:t xml:space="preserve">According to the agreements, the time errors considered for the evaluation of the time synchronization include the BS transmitting timing error, the value for UE transmitting timing error defined by RAN4, the TA indicating error, the TA adjustment accuracy defined by RAN4, the BS detecting error. In fact, the value for UE transmitting timing error defined by RAN4 includes the downlink detection error by the UE and the uplink transmitting timing error. All the listed errors affect the accuracy of the estimated TA. In addition, the BS transmitting time error and the downlink detection </w:t>
      </w:r>
      <w:r>
        <w:rPr>
          <w:rFonts w:hint="eastAsia"/>
          <w:lang w:val="en-US" w:eastAsia="zh-CN"/>
        </w:rPr>
        <w:t xml:space="preserve">error </w:t>
      </w:r>
      <w:r>
        <w:rPr>
          <w:rFonts w:hint="eastAsia"/>
          <w:lang w:eastAsia="zh-CN"/>
        </w:rPr>
        <w:t>by the UE affect</w:t>
      </w:r>
      <w:r>
        <w:rPr>
          <w:rFonts w:hint="eastAsia"/>
          <w:lang w:val="en-US" w:eastAsia="zh-CN"/>
        </w:rPr>
        <w:t xml:space="preserve"> the</w:t>
      </w:r>
      <w:r>
        <w:rPr>
          <w:rFonts w:hint="eastAsia"/>
          <w:lang w:eastAsia="zh-CN"/>
        </w:rPr>
        <w:t xml:space="preserve"> actual time when the UE receives the reference point.</w:t>
      </w:r>
    </w:p>
    <w:p>
      <w:pPr>
        <w:rPr>
          <w:rFonts w:hint="eastAsia"/>
          <w:lang w:eastAsia="zh-CN"/>
        </w:rPr>
      </w:pPr>
      <w:r>
        <w:rPr>
          <w:rFonts w:hint="eastAsia"/>
          <w:lang w:eastAsia="zh-CN"/>
        </w:rPr>
        <w:t>In practice, these listed errors can be negative or positive. Figure 1 illustrates an example of maximum time offset between the calculated receiving time and the actual time when the UE receives the reference point. It can be seen that some of the time errors are positive and the others are negative in this case.</w:t>
      </w:r>
    </w:p>
    <w:p>
      <w:pPr>
        <w:numPr>
          <w:ilvl w:val="0"/>
          <w:numId w:val="14"/>
        </w:numPr>
        <w:rPr>
          <w:lang w:eastAsia="zh-CN"/>
        </w:rPr>
      </w:pPr>
      <w:r>
        <w:rPr>
          <w:rFonts w:hint="eastAsia"/>
          <w:lang w:eastAsia="zh-CN"/>
        </w:rPr>
        <w:t xml:space="preserve">The gNB wants to transmit DL signal to </w:t>
      </w:r>
      <w:r>
        <w:rPr>
          <w:lang w:eastAsia="zh-CN"/>
        </w:rPr>
        <w:t xml:space="preserve">the </w:t>
      </w:r>
      <w:r>
        <w:rPr>
          <w:rFonts w:hint="eastAsia"/>
          <w:lang w:eastAsia="zh-CN"/>
        </w:rPr>
        <w:t xml:space="preserve">UE at t1. In fact, the DL signal is transmitted by the gNB at t2 due to the gNB transmitting time error (e1), where e1 </w:t>
      </w:r>
      <w:r>
        <w:rPr>
          <w:lang w:eastAsia="zh-CN"/>
        </w:rPr>
        <w:t>is</w:t>
      </w:r>
      <w:r>
        <w:rPr>
          <w:rFonts w:hint="eastAsia"/>
          <w:lang w:eastAsia="zh-CN"/>
        </w:rPr>
        <w:t xml:space="preserve"> a negative error. It means that the gNB transmits the signal before the time that the gNB wants to transmits, i.e. t2 is before t1 as shown in Figure 1. </w:t>
      </w:r>
    </w:p>
    <w:p>
      <w:pPr>
        <w:numPr>
          <w:ilvl w:val="0"/>
          <w:numId w:val="14"/>
        </w:numPr>
        <w:rPr>
          <w:lang w:eastAsia="zh-CN"/>
        </w:rPr>
      </w:pPr>
      <w:r>
        <w:rPr>
          <w:rFonts w:hint="eastAsia"/>
          <w:lang w:eastAsia="zh-CN"/>
        </w:rPr>
        <w:t xml:space="preserve">After DL propagation, the DL signal arrives to the UE at t3, where t3-t2 is the DL propagation delay. Due to </w:t>
      </w:r>
      <w:r>
        <w:rPr>
          <w:rFonts w:hint="eastAsia"/>
          <w:lang w:val="en-US" w:eastAsia="zh-CN"/>
        </w:rPr>
        <w:t>UE detection</w:t>
      </w:r>
      <w:r>
        <w:rPr>
          <w:rFonts w:hint="eastAsia"/>
          <w:lang w:eastAsia="zh-CN"/>
        </w:rPr>
        <w:t xml:space="preserve"> error (e2), the UE detects that the DL signal is received at t4, where e2 </w:t>
      </w:r>
      <w:r>
        <w:rPr>
          <w:lang w:eastAsia="zh-CN"/>
        </w:rPr>
        <w:t>is</w:t>
      </w:r>
      <w:r>
        <w:rPr>
          <w:rFonts w:hint="eastAsia"/>
          <w:lang w:eastAsia="zh-CN"/>
        </w:rPr>
        <w:t xml:space="preserve"> a negative error so that t4 is before t3 as shown in Figure 1. </w:t>
      </w:r>
    </w:p>
    <w:p>
      <w:pPr>
        <w:numPr>
          <w:ilvl w:val="0"/>
          <w:numId w:val="14"/>
        </w:numPr>
        <w:rPr>
          <w:lang w:eastAsia="zh-CN"/>
        </w:rPr>
      </w:pPr>
      <w:r>
        <w:rPr>
          <w:rFonts w:hint="eastAsia"/>
          <w:lang w:eastAsia="zh-CN"/>
        </w:rPr>
        <w:t>When the UE performs UL signal transmission, the TA indicat</w:t>
      </w:r>
      <w:r>
        <w:rPr>
          <w:rFonts w:hint="eastAsia"/>
          <w:lang w:val="en-US" w:eastAsia="zh-CN"/>
        </w:rPr>
        <w:t>ion</w:t>
      </w:r>
      <w:r>
        <w:rPr>
          <w:rFonts w:hint="eastAsia"/>
          <w:lang w:eastAsia="zh-CN"/>
        </w:rPr>
        <w:t xml:space="preserve"> error (e</w:t>
      </w:r>
      <w:r>
        <w:rPr>
          <w:rFonts w:hint="eastAsia"/>
          <w:lang w:val="en-US" w:eastAsia="zh-CN"/>
        </w:rPr>
        <w:t>3</w:t>
      </w:r>
      <w:r>
        <w:rPr>
          <w:rFonts w:hint="eastAsia"/>
          <w:lang w:eastAsia="zh-CN"/>
        </w:rPr>
        <w:t>) and TA adjustment error (e</w:t>
      </w:r>
      <w:r>
        <w:rPr>
          <w:rFonts w:hint="eastAsia"/>
          <w:lang w:val="en-US" w:eastAsia="zh-CN"/>
        </w:rPr>
        <w:t>4</w:t>
      </w:r>
      <w:r>
        <w:rPr>
          <w:rFonts w:hint="eastAsia"/>
          <w:lang w:eastAsia="zh-CN"/>
        </w:rPr>
        <w:t xml:space="preserve">) should be taken into account, </w:t>
      </w:r>
      <w:r>
        <w:rPr>
          <w:lang w:eastAsia="zh-CN"/>
        </w:rPr>
        <w:t>which leads to</w:t>
      </w:r>
      <w:r>
        <w:rPr>
          <w:rFonts w:hint="eastAsia"/>
          <w:lang w:eastAsia="zh-CN"/>
        </w:rPr>
        <w:t xml:space="preserve"> the UE transmits UL signal at t6, where e4 and e5 </w:t>
      </w:r>
      <w:r>
        <w:rPr>
          <w:lang w:eastAsia="zh-CN"/>
        </w:rPr>
        <w:t xml:space="preserve">are </w:t>
      </w:r>
      <w:r>
        <w:rPr>
          <w:rFonts w:hint="eastAsia"/>
          <w:lang w:eastAsia="zh-CN"/>
        </w:rPr>
        <w:t xml:space="preserve">positive errors so that t6 is after t4 as shown in Figure 1. </w:t>
      </w:r>
    </w:p>
    <w:p>
      <w:pPr>
        <w:numPr>
          <w:ilvl w:val="0"/>
          <w:numId w:val="14"/>
        </w:numPr>
        <w:rPr>
          <w:lang w:eastAsia="zh-CN"/>
        </w:rPr>
      </w:pPr>
      <w:r>
        <w:rPr>
          <w:rFonts w:hint="eastAsia"/>
          <w:lang w:eastAsia="zh-CN"/>
        </w:rPr>
        <w:t>After UL propagation, the UL signals arrives to the gNB at t7 assuming UL propagation delay is equal to the DL propagation delay.</w:t>
      </w:r>
    </w:p>
    <w:p>
      <w:pPr>
        <w:numPr>
          <w:ilvl w:val="0"/>
          <w:numId w:val="14"/>
        </w:numPr>
        <w:rPr>
          <w:lang w:eastAsia="zh-CN"/>
        </w:rPr>
      </w:pPr>
      <w:r>
        <w:rPr>
          <w:rFonts w:hint="eastAsia"/>
          <w:lang w:eastAsia="zh-CN"/>
        </w:rPr>
        <w:t xml:space="preserve">Due to </w:t>
      </w:r>
      <w:r>
        <w:rPr>
          <w:rFonts w:hint="eastAsia"/>
          <w:lang w:val="en-US" w:eastAsia="zh-CN"/>
        </w:rPr>
        <w:t>BS detection</w:t>
      </w:r>
      <w:r>
        <w:rPr>
          <w:rFonts w:hint="eastAsia"/>
          <w:lang w:eastAsia="zh-CN"/>
        </w:rPr>
        <w:t xml:space="preserve"> error (e</w:t>
      </w:r>
      <w:r>
        <w:rPr>
          <w:rFonts w:hint="eastAsia"/>
          <w:lang w:val="en-US" w:eastAsia="zh-CN"/>
        </w:rPr>
        <w:t>5</w:t>
      </w:r>
      <w:r>
        <w:rPr>
          <w:rFonts w:hint="eastAsia"/>
          <w:lang w:eastAsia="zh-CN"/>
        </w:rPr>
        <w:t>), the gNB detects that UL signal arrives at t</w:t>
      </w:r>
      <w:r>
        <w:rPr>
          <w:rFonts w:hint="eastAsia"/>
          <w:lang w:val="en-US" w:eastAsia="zh-CN"/>
        </w:rPr>
        <w:t>8</w:t>
      </w:r>
      <w:r>
        <w:rPr>
          <w:rFonts w:hint="eastAsia"/>
          <w:lang w:eastAsia="zh-CN"/>
        </w:rPr>
        <w:t xml:space="preserve">, where e3 </w:t>
      </w:r>
      <w:r>
        <w:rPr>
          <w:lang w:eastAsia="zh-CN"/>
        </w:rPr>
        <w:t>is</w:t>
      </w:r>
      <w:r>
        <w:rPr>
          <w:rFonts w:hint="eastAsia"/>
          <w:lang w:eastAsia="zh-CN"/>
        </w:rPr>
        <w:t xml:space="preserve"> a positive error so that t</w:t>
      </w:r>
      <w:r>
        <w:rPr>
          <w:rFonts w:hint="eastAsia"/>
          <w:lang w:val="en-US" w:eastAsia="zh-CN"/>
        </w:rPr>
        <w:t>8</w:t>
      </w:r>
      <w:r>
        <w:rPr>
          <w:rFonts w:hint="eastAsia"/>
          <w:lang w:eastAsia="zh-CN"/>
        </w:rPr>
        <w:t xml:space="preserve"> is after t</w:t>
      </w:r>
      <w:r>
        <w:rPr>
          <w:rFonts w:hint="eastAsia"/>
          <w:lang w:val="en-US" w:eastAsia="zh-CN"/>
        </w:rPr>
        <w:t>7</w:t>
      </w:r>
      <w:r>
        <w:rPr>
          <w:rFonts w:hint="eastAsia"/>
          <w:lang w:eastAsia="zh-CN"/>
        </w:rPr>
        <w:t xml:space="preserve"> as shown in Figure 1. </w:t>
      </w:r>
    </w:p>
    <w:p>
      <w:pPr>
        <w:numPr>
          <w:ilvl w:val="0"/>
          <w:numId w:val="14"/>
        </w:numPr>
        <w:rPr>
          <w:lang w:eastAsia="zh-CN"/>
        </w:rPr>
      </w:pPr>
      <w:r>
        <w:rPr>
          <w:rFonts w:hint="eastAsia"/>
          <w:lang w:eastAsia="zh-CN"/>
        </w:rPr>
        <w:t>In order to adjust the UE transmitting time such that the UL signals is aligned at the gNB, the TA should be 2P</w:t>
      </w:r>
      <w:r>
        <w:rPr>
          <w:rFonts w:hint="eastAsia"/>
          <w:vertAlign w:val="subscript"/>
          <w:lang w:eastAsia="zh-CN"/>
        </w:rPr>
        <w:t>DL</w:t>
      </w:r>
      <w:r>
        <w:rPr>
          <w:rFonts w:hint="eastAsia"/>
          <w:lang w:eastAsia="zh-CN"/>
        </w:rPr>
        <w:t>+e3+e4+e5-e1-e2. Note: all the e</w:t>
      </w:r>
      <w:r>
        <w:rPr>
          <w:rFonts w:hint="eastAsia"/>
          <w:vertAlign w:val="subscript"/>
          <w:lang w:eastAsia="zh-CN"/>
        </w:rPr>
        <w:t>x</w:t>
      </w:r>
      <w:r>
        <w:rPr>
          <w:rFonts w:hint="eastAsia"/>
          <w:lang w:eastAsia="zh-CN"/>
        </w:rPr>
        <w:t xml:space="preserve"> in the equation are the positive time duration value.</w:t>
      </w:r>
    </w:p>
    <w:p>
      <w:pPr>
        <w:jc w:val="center"/>
      </w:pPr>
      <w:r>
        <w:object>
          <v:shape id="_x0000_i1025" o:spt="75" type="#_x0000_t75" style="height:369.8pt;width:346.9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jc w:val="center"/>
        <w:rPr>
          <w:lang w:eastAsia="zh-CN"/>
        </w:rPr>
      </w:pPr>
      <w:r>
        <w:rPr>
          <w:rFonts w:hint="eastAsia"/>
          <w:lang w:eastAsia="zh-CN"/>
        </w:rPr>
        <w:t xml:space="preserve">Figure 1 An example of time error </w:t>
      </w:r>
    </w:p>
    <w:p>
      <w:pPr>
        <w:rPr>
          <w:lang w:eastAsia="zh-CN"/>
        </w:rPr>
      </w:pPr>
      <w:r>
        <w:rPr>
          <w:rFonts w:hint="eastAsia"/>
          <w:lang w:eastAsia="zh-CN"/>
        </w:rPr>
        <w:t xml:space="preserve">The UE detects that DL signals arrives to the UE at t4. According to the UE-based method, the UE thinks t4 is </w:t>
      </w:r>
      <w:r>
        <w:rPr>
          <w:rFonts w:hint="eastAsia"/>
          <w:lang w:val="en-US" w:eastAsia="zh-CN"/>
        </w:rPr>
        <w:t xml:space="preserve">the indicated </w:t>
      </w:r>
      <w:r>
        <w:rPr>
          <w:rFonts w:hint="eastAsia"/>
          <w:lang w:eastAsia="zh-CN"/>
        </w:rPr>
        <w:t>reference timing plus half of the TA, i.e. t1+TA/2=t1+1/2*(2P</w:t>
      </w:r>
      <w:r>
        <w:rPr>
          <w:rFonts w:hint="eastAsia"/>
          <w:vertAlign w:val="subscript"/>
          <w:lang w:eastAsia="zh-CN"/>
        </w:rPr>
        <w:t>DL</w:t>
      </w:r>
      <w:r>
        <w:rPr>
          <w:rFonts w:hint="eastAsia"/>
          <w:lang w:eastAsia="zh-CN"/>
        </w:rPr>
        <w:t>+e3+e4+e5-e1-e2). However, the correct time of t4 is t1+P</w:t>
      </w:r>
      <w:r>
        <w:rPr>
          <w:rFonts w:hint="eastAsia"/>
          <w:vertAlign w:val="subscript"/>
          <w:lang w:eastAsia="zh-CN"/>
        </w:rPr>
        <w:t>DL</w:t>
      </w:r>
      <w:r>
        <w:rPr>
          <w:rFonts w:hint="eastAsia"/>
          <w:lang w:eastAsia="zh-CN"/>
        </w:rPr>
        <w:t xml:space="preserve">-e1-e2. Therefore, the timing synchronization error is 1/2*(e1+e2+e3+e4+e5). Note that the time error for the other cases are also given in the appendix. </w:t>
      </w:r>
    </w:p>
    <w:p>
      <w:pPr>
        <w:rPr>
          <w:rFonts w:hint="default"/>
          <w:i/>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w:t>
      </w:r>
      <w:r>
        <w:rPr>
          <w:rFonts w:hint="eastAsia"/>
          <w:i/>
          <w:iCs/>
          <w:lang w:eastAsia="zh-CN"/>
        </w:rPr>
        <w:t xml:space="preserve"> The maximum timing synchronization error with UE propagation delay compensation should be 1/2*(e1+e2+e3+e4+e5), where e1 is the gNB transmitting time error, e2 is the </w:t>
      </w:r>
      <w:r>
        <w:rPr>
          <w:rFonts w:hint="eastAsia"/>
          <w:i/>
          <w:iCs/>
          <w:lang w:val="en-US" w:eastAsia="zh-CN"/>
        </w:rPr>
        <w:t>UE detection</w:t>
      </w:r>
      <w:r>
        <w:rPr>
          <w:rFonts w:hint="eastAsia"/>
          <w:i/>
          <w:iCs/>
          <w:lang w:eastAsia="zh-CN"/>
        </w:rPr>
        <w:t xml:space="preserve"> error, e3 is the </w:t>
      </w:r>
      <w:r>
        <w:rPr>
          <w:rFonts w:hint="eastAsia"/>
          <w:i/>
          <w:iCs/>
          <w:lang w:val="en-US" w:eastAsia="zh-CN"/>
        </w:rPr>
        <w:t>TA indication</w:t>
      </w:r>
      <w:r>
        <w:rPr>
          <w:rFonts w:hint="eastAsia"/>
          <w:i/>
          <w:iCs/>
          <w:lang w:eastAsia="zh-CN"/>
        </w:rPr>
        <w:t xml:space="preserve"> error, e</w:t>
      </w:r>
      <w:r>
        <w:rPr>
          <w:rFonts w:hint="eastAsia"/>
          <w:i/>
          <w:iCs/>
          <w:lang w:val="en-US" w:eastAsia="zh-CN"/>
        </w:rPr>
        <w:t>4</w:t>
      </w:r>
      <w:r>
        <w:rPr>
          <w:rFonts w:hint="eastAsia"/>
          <w:i/>
          <w:iCs/>
          <w:lang w:eastAsia="zh-CN"/>
        </w:rPr>
        <w:t xml:space="preserve"> is the TA adjustment error</w:t>
      </w:r>
      <w:r>
        <w:rPr>
          <w:rFonts w:hint="eastAsia"/>
          <w:i/>
          <w:iCs/>
          <w:lang w:val="en-US" w:eastAsia="zh-CN"/>
        </w:rPr>
        <w:t>, e5 is the BS detection error.</w:t>
      </w:r>
    </w:p>
    <w:p>
      <w:pPr>
        <w:rPr>
          <w:rFonts w:hint="eastAsia"/>
          <w:lang w:val="en-US" w:eastAsia="zh-CN"/>
        </w:rPr>
      </w:pPr>
      <w:r>
        <w:rPr>
          <w:rFonts w:hint="eastAsia"/>
          <w:lang w:val="en-US" w:eastAsia="zh-CN"/>
        </w:rPr>
        <w:t xml:space="preserve">In this contribution, the gNB transmitting time is assumed to be 65ns. The value defined in Table 7.1.2-1 for initial transmit timing error (Te) represent the allowed time offset between the reference point and the UE transmitting time, where the reference point is the downlink detection timing minus the value of TA. It includes the </w:t>
      </w:r>
      <w:r>
        <w:rPr>
          <w:rFonts w:hint="eastAsia"/>
          <w:lang w:eastAsia="zh-CN"/>
        </w:rPr>
        <w:t>downlink detection error by the UE and the uplink transmitting timing error.</w:t>
      </w:r>
      <w:r>
        <w:rPr>
          <w:rFonts w:hint="eastAsia"/>
          <w:lang w:val="en-US" w:eastAsia="zh-CN"/>
        </w:rPr>
        <w:t xml:space="preserve"> In the worst case, the downlink detection error can be Te. Therefore, it is assumed that the UE detection error is Te. The evaluation results for the accuracy of the Uu interface are shown in Table 1. It can be seen that the time errors at 15kHz and 30kHz are 473ns and 375ns, respectively. </w:t>
      </w:r>
    </w:p>
    <w:p>
      <w:pPr>
        <w:rPr>
          <w:rFonts w:hint="eastAsia"/>
          <w:i/>
          <w:iCs/>
          <w:lang w:val="en-US" w:eastAsia="zh-CN"/>
        </w:rPr>
      </w:pPr>
      <w:r>
        <w:rPr>
          <w:rFonts w:hint="eastAsia"/>
          <w:b/>
          <w:bCs/>
          <w:i/>
          <w:iCs/>
          <w:lang w:val="en-US" w:eastAsia="zh-CN"/>
        </w:rPr>
        <w:t>Observation 1:</w:t>
      </w:r>
      <w:r>
        <w:rPr>
          <w:rFonts w:hint="eastAsia"/>
          <w:i/>
          <w:iCs/>
          <w:lang w:val="en-US" w:eastAsia="zh-CN"/>
        </w:rPr>
        <w:t xml:space="preserve"> The time errors at 15kHz and 30kHz are 473ns and 375ns, respectively.</w:t>
      </w:r>
    </w:p>
    <w:p>
      <w:pPr>
        <w:jc w:val="center"/>
        <w:rPr>
          <w:rFonts w:hint="default"/>
          <w:lang w:val="en-US" w:eastAsia="zh-CN"/>
        </w:rPr>
      </w:pPr>
      <w:r>
        <w:rPr>
          <w:rFonts w:hint="eastAsia"/>
          <w:lang w:val="en-US" w:eastAsia="zh-CN"/>
        </w:rPr>
        <w:t>Table 1 Evaluation results for the accuracy of the Uu interface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1773"/>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p>
        </w:tc>
        <w:tc>
          <w:tcPr>
            <w:tcW w:w="1773"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15kHz</w:t>
            </w:r>
          </w:p>
        </w:tc>
        <w:tc>
          <w:tcPr>
            <w:tcW w:w="177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default"/>
                <w:vertAlign w:val="baseline"/>
                <w:lang w:val="en-US" w:eastAsia="zh-CN"/>
              </w:rPr>
              <w:t>BS transmi</w:t>
            </w:r>
            <w:r>
              <w:rPr>
                <w:rFonts w:hint="eastAsia"/>
                <w:vertAlign w:val="baseline"/>
                <w:lang w:val="en-US" w:eastAsia="zh-CN"/>
              </w:rPr>
              <w:t>ssion</w:t>
            </w:r>
            <w:r>
              <w:rPr>
                <w:rFonts w:hint="default"/>
                <w:vertAlign w:val="baseline"/>
                <w:lang w:val="en-US" w:eastAsia="zh-CN"/>
              </w:rPr>
              <w:t xml:space="preserve"> timing error</w:t>
            </w:r>
          </w:p>
        </w:tc>
        <w:tc>
          <w:tcPr>
            <w:tcW w:w="1773"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sz w:val="20"/>
                <w:szCs w:val="20"/>
                <w:vertAlign w:val="baseline"/>
                <w:lang w:val="en-US" w:eastAsia="zh-CN"/>
              </w:rPr>
            </w:pPr>
            <w:r>
              <w:rPr>
                <w:rFonts w:hint="eastAsia"/>
                <w:sz w:val="20"/>
                <w:szCs w:val="20"/>
                <w:vertAlign w:val="baseline"/>
                <w:lang w:val="en-US" w:eastAsia="zh-CN"/>
              </w:rPr>
              <w:t>65ns</w:t>
            </w:r>
          </w:p>
        </w:tc>
        <w:tc>
          <w:tcPr>
            <w:tcW w:w="177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sz w:val="20"/>
                <w:szCs w:val="20"/>
                <w:vertAlign w:val="baseline"/>
                <w:lang w:val="en-US" w:eastAsia="zh-CN"/>
              </w:rPr>
            </w:pPr>
            <w:r>
              <w:rPr>
                <w:rFonts w:hint="eastAsia"/>
                <w:sz w:val="20"/>
                <w:szCs w:val="20"/>
                <w:vertAlign w:val="baseline"/>
                <w:lang w:val="en-US"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UE detection error</w:t>
            </w:r>
          </w:p>
        </w:tc>
        <w:tc>
          <w:tcPr>
            <w:tcW w:w="1773"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eastAsia" w:eastAsia="宋体"/>
                <w:sz w:val="20"/>
                <w:szCs w:val="20"/>
                <w:vertAlign w:val="baseline"/>
                <w:lang w:val="en-US" w:eastAsia="zh-CN"/>
              </w:rPr>
            </w:pPr>
            <w:r>
              <w:rPr>
                <w:rFonts w:hint="eastAsia"/>
                <w:sz w:val="20"/>
                <w:szCs w:val="20"/>
                <w:lang w:val="en-US" w:eastAsia="zh-CN"/>
              </w:rPr>
              <w:t>391ns(</w:t>
            </w:r>
            <w:r>
              <w:rPr>
                <w:sz w:val="20"/>
                <w:szCs w:val="20"/>
              </w:rPr>
              <w:t>12*64*T</w:t>
            </w:r>
            <w:r>
              <w:rPr>
                <w:sz w:val="20"/>
                <w:szCs w:val="20"/>
                <w:vertAlign w:val="subscript"/>
              </w:rPr>
              <w:t>c</w:t>
            </w:r>
            <w:r>
              <w:rPr>
                <w:rFonts w:hint="eastAsia"/>
                <w:sz w:val="20"/>
                <w:szCs w:val="20"/>
                <w:vertAlign w:val="baseline"/>
                <w:lang w:val="en-US" w:eastAsia="zh-CN"/>
              </w:rPr>
              <w:t>)</w:t>
            </w:r>
          </w:p>
        </w:tc>
        <w:tc>
          <w:tcPr>
            <w:tcW w:w="177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eastAsia" w:eastAsia="宋体"/>
                <w:sz w:val="20"/>
                <w:szCs w:val="20"/>
                <w:vertAlign w:val="baseline"/>
                <w:lang w:val="en-US" w:eastAsia="zh-CN"/>
              </w:rPr>
            </w:pPr>
            <w:r>
              <w:rPr>
                <w:rFonts w:hint="eastAsia"/>
                <w:sz w:val="20"/>
                <w:szCs w:val="20"/>
                <w:lang w:val="en-US" w:eastAsia="zh-CN"/>
              </w:rPr>
              <w:t>326ns(</w:t>
            </w:r>
            <w:r>
              <w:rPr>
                <w:sz w:val="20"/>
                <w:szCs w:val="20"/>
              </w:rPr>
              <w:t>10*64*T</w:t>
            </w:r>
            <w:r>
              <w:rPr>
                <w:sz w:val="20"/>
                <w:szCs w:val="20"/>
                <w:vertAlign w:val="subscript"/>
              </w:rPr>
              <w:t>c</w:t>
            </w:r>
            <w:r>
              <w:rPr>
                <w:rFonts w:hint="eastAsia"/>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TA indication error</w:t>
            </w:r>
          </w:p>
        </w:tc>
        <w:tc>
          <w:tcPr>
            <w:tcW w:w="1773"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eastAsia" w:eastAsia="宋体"/>
                <w:sz w:val="20"/>
                <w:szCs w:val="20"/>
                <w:vertAlign w:val="baseline"/>
                <w:lang w:val="en-US" w:eastAsia="zh-CN"/>
              </w:rPr>
            </w:pPr>
            <w:r>
              <w:rPr>
                <w:rFonts w:hint="eastAsia" w:ascii="New York" w:hAnsi="New York"/>
                <w:sz w:val="20"/>
                <w:szCs w:val="20"/>
                <w:lang w:val="en-US" w:eastAsia="zh-CN"/>
              </w:rPr>
              <w:t>260ns(</w:t>
            </w:r>
            <w:r>
              <w:rPr>
                <w:rFonts w:ascii="New York" w:hAnsi="New York"/>
                <w:sz w:val="20"/>
                <w:szCs w:val="20"/>
              </w:rPr>
              <w:t>8*64*T</w:t>
            </w:r>
            <w:r>
              <w:rPr>
                <w:rFonts w:ascii="New York" w:hAnsi="New York"/>
                <w:sz w:val="20"/>
                <w:szCs w:val="20"/>
                <w:vertAlign w:val="subscript"/>
              </w:rPr>
              <w:t>c</w:t>
            </w:r>
            <w:r>
              <w:rPr>
                <w:rFonts w:hint="eastAsia" w:ascii="New York" w:hAnsi="New York"/>
                <w:sz w:val="20"/>
                <w:szCs w:val="20"/>
                <w:vertAlign w:val="baseline"/>
                <w:lang w:val="en-US" w:eastAsia="zh-CN"/>
              </w:rPr>
              <w:t>)</w:t>
            </w:r>
          </w:p>
        </w:tc>
        <w:tc>
          <w:tcPr>
            <w:tcW w:w="177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eastAsia" w:eastAsia="宋体"/>
                <w:sz w:val="20"/>
                <w:szCs w:val="20"/>
                <w:vertAlign w:val="baseline"/>
                <w:lang w:val="en-US" w:eastAsia="zh-CN"/>
              </w:rPr>
            </w:pPr>
            <w:r>
              <w:rPr>
                <w:rFonts w:hint="eastAsia" w:ascii="New York" w:hAnsi="New York"/>
                <w:sz w:val="20"/>
                <w:szCs w:val="20"/>
                <w:lang w:val="en-US" w:eastAsia="zh-CN"/>
              </w:rPr>
              <w:t>130ns(4</w:t>
            </w:r>
            <w:r>
              <w:rPr>
                <w:rFonts w:ascii="New York" w:hAnsi="New York"/>
                <w:sz w:val="20"/>
                <w:szCs w:val="20"/>
              </w:rPr>
              <w:t>*64*T</w:t>
            </w:r>
            <w:r>
              <w:rPr>
                <w:rFonts w:ascii="New York" w:hAnsi="New York"/>
                <w:sz w:val="20"/>
                <w:szCs w:val="20"/>
                <w:vertAlign w:val="subscript"/>
              </w:rPr>
              <w:t>c</w:t>
            </w:r>
            <w:r>
              <w:rPr>
                <w:rFonts w:hint="eastAsia" w:ascii="New York" w:hAnsi="New York"/>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TA adjustment error</w:t>
            </w:r>
          </w:p>
        </w:tc>
        <w:tc>
          <w:tcPr>
            <w:tcW w:w="1773"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lang w:val="en-US" w:eastAsia="zh-CN"/>
              </w:rPr>
            </w:pPr>
            <w:r>
              <w:rPr>
                <w:rFonts w:hint="eastAsia"/>
                <w:lang w:val="en-US" w:eastAsia="zh-CN"/>
              </w:rPr>
              <w:t>130ns(256 T</w:t>
            </w:r>
            <w:r>
              <w:rPr>
                <w:rFonts w:hint="eastAsia"/>
                <w:vertAlign w:val="subscript"/>
                <w:lang w:val="en-US" w:eastAsia="zh-CN"/>
              </w:rPr>
              <w:t>c</w:t>
            </w:r>
            <w:r>
              <w:rPr>
                <w:rFonts w:hint="eastAsia"/>
                <w:lang w:val="en-US" w:eastAsia="zh-CN"/>
              </w:rPr>
              <w:t>)</w:t>
            </w:r>
          </w:p>
        </w:tc>
        <w:tc>
          <w:tcPr>
            <w:tcW w:w="1774"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lang w:val="en-US" w:eastAsia="zh-CN"/>
              </w:rPr>
            </w:pPr>
            <w:r>
              <w:rPr>
                <w:rFonts w:hint="eastAsia"/>
                <w:lang w:val="en-US" w:eastAsia="zh-CN"/>
              </w:rPr>
              <w:t>130ns(256 T</w:t>
            </w:r>
            <w:r>
              <w:rPr>
                <w:rFonts w:hint="eastAsia"/>
                <w:vertAlign w:val="subscript"/>
                <w:lang w:val="en-US" w:eastAsia="zh-CN"/>
              </w:rPr>
              <w:t>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BS detection error</w:t>
            </w:r>
          </w:p>
        </w:tc>
        <w:tc>
          <w:tcPr>
            <w:tcW w:w="1773"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sz w:val="20"/>
                <w:szCs w:val="20"/>
                <w:vertAlign w:val="baseline"/>
                <w:lang w:val="en-US" w:eastAsia="zh-CN"/>
              </w:rPr>
            </w:pPr>
            <w:r>
              <w:rPr>
                <w:rFonts w:hint="eastAsia"/>
                <w:sz w:val="20"/>
                <w:szCs w:val="20"/>
                <w:vertAlign w:val="baseline"/>
                <w:lang w:val="en-US" w:eastAsia="zh-CN"/>
              </w:rPr>
              <w:t>100ns</w:t>
            </w:r>
          </w:p>
        </w:tc>
        <w:tc>
          <w:tcPr>
            <w:tcW w:w="177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sz w:val="20"/>
                <w:szCs w:val="20"/>
                <w:vertAlign w:val="baseline"/>
                <w:lang w:val="en-US" w:eastAsia="zh-CN"/>
              </w:rPr>
            </w:pPr>
            <w:r>
              <w:rPr>
                <w:rFonts w:hint="eastAsia"/>
                <w:sz w:val="20"/>
                <w:szCs w:val="20"/>
                <w:vertAlign w:val="baseline"/>
                <w:lang w:val="en-US"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Total error/2</w:t>
            </w:r>
          </w:p>
        </w:tc>
        <w:tc>
          <w:tcPr>
            <w:tcW w:w="1773"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473ns</w:t>
            </w:r>
          </w:p>
        </w:tc>
        <w:tc>
          <w:tcPr>
            <w:tcW w:w="1774" w:type="dxa"/>
          </w:tcPr>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rPr>
                <w:rFonts w:hint="default"/>
                <w:vertAlign w:val="baseline"/>
                <w:lang w:val="en-US" w:eastAsia="zh-CN"/>
              </w:rPr>
            </w:pPr>
            <w:r>
              <w:rPr>
                <w:rFonts w:hint="eastAsia"/>
                <w:vertAlign w:val="baseline"/>
                <w:lang w:val="en-US" w:eastAsia="zh-CN"/>
              </w:rPr>
              <w:t>375ns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For smart grid with only one Uu interface error, the current accuracy of the Uu interface can satisfy the requirement. For the </w:t>
      </w:r>
      <w:r>
        <w:t>control-to-control</w:t>
      </w:r>
      <w:r>
        <w:rPr>
          <w:rFonts w:hint="eastAsia"/>
          <w:lang w:val="en-US" w:eastAsia="zh-CN"/>
        </w:rPr>
        <w:t xml:space="preserve"> with two Uu interface errors, it can be predicted that the current accuracy of Uu interface (946ns) cannot satisfy the requirement considering that the synchronization budget for the network, which will be provided by the reply LS from RAN2. Therefore, </w:t>
      </w:r>
      <w:r>
        <w:rPr>
          <w:rFonts w:hint="eastAsia"/>
          <w:lang w:eastAsia="zh-CN"/>
        </w:rPr>
        <w:t>the time accuracy of Uu interface</w:t>
      </w:r>
      <w:r>
        <w:rPr>
          <w:rFonts w:hint="eastAsia"/>
          <w:lang w:val="en-US" w:eastAsia="zh-CN"/>
        </w:rPr>
        <w:t xml:space="preserve"> should be improved. There were two potential solutions in last meeting. The TA-based propagation delay is preferred due to the limited spec impact. And both of the enhanced TA indication granularity and the enhanced requirement for TA adjustment and Te can be considered. Table 2 is an example of the achieved the accuracy of Uu interface when the current values are reduced by half for the initial transmitting timing error (Te), the TA indication granularity and the TA adjustment error. It can be seen that the least Uu interface at 15kHz and 30kHz that can be achieved are 277ns and 229ns respectively.</w:t>
      </w:r>
    </w:p>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lang w:val="en-US" w:eastAsia="zh-CN"/>
        </w:rPr>
      </w:pPr>
      <w:r>
        <w:rPr>
          <w:rFonts w:hint="eastAsia"/>
          <w:lang w:val="en-US" w:eastAsia="zh-CN"/>
        </w:rPr>
        <w:t>Table 2 An example of the achieved accuracy of Uu interface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857"/>
        <w:gridCol w:w="999"/>
        <w:gridCol w:w="999"/>
        <w:gridCol w:w="999"/>
        <w:gridCol w:w="999"/>
        <w:gridCol w:w="999"/>
        <w:gridCol w:w="999"/>
        <w:gridCol w:w="999"/>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57" w:type="dxa"/>
          </w:tcPr>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vertAlign w:val="baseline"/>
                <w:lang w:val="en-US" w:eastAsia="zh-CN"/>
              </w:rPr>
            </w:pPr>
          </w:p>
        </w:tc>
        <w:tc>
          <w:tcPr>
            <w:tcW w:w="3996" w:type="dxa"/>
            <w:gridSpan w:val="4"/>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15kHz</w:t>
            </w:r>
          </w:p>
        </w:tc>
        <w:tc>
          <w:tcPr>
            <w:tcW w:w="3997" w:type="dxa"/>
            <w:gridSpan w:val="4"/>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57"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left"/>
              <w:textAlignment w:val="baseline"/>
              <w:rPr>
                <w:rFonts w:hint="default"/>
                <w:vertAlign w:val="baseline"/>
                <w:lang w:val="en-US" w:eastAsia="zh-CN"/>
              </w:rPr>
            </w:pPr>
            <w:r>
              <w:rPr>
                <w:rFonts w:hint="eastAsia"/>
                <w:vertAlign w:val="baseline"/>
                <w:lang w:val="en-US" w:eastAsia="zh-CN"/>
              </w:rPr>
              <w:t>Enhanced UE detection error(Te)</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195ns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195ns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163ns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1000"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163ns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57"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left"/>
              <w:textAlignment w:val="baseline"/>
              <w:rPr>
                <w:rFonts w:hint="default"/>
                <w:vertAlign w:val="baseline"/>
                <w:lang w:val="en-US" w:eastAsia="zh-CN"/>
              </w:rPr>
            </w:pPr>
            <w:r>
              <w:rPr>
                <w:rFonts w:hint="eastAsia"/>
                <w:vertAlign w:val="baseline"/>
                <w:lang w:val="en-US" w:eastAsia="zh-CN"/>
              </w:rPr>
              <w:t>Enhanced TA indication error</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130ns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130ns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65ns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1000"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57"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left"/>
              <w:textAlignment w:val="baseline"/>
              <w:rPr>
                <w:rFonts w:hint="default"/>
                <w:vertAlign w:val="baseline"/>
                <w:lang w:val="en-US" w:eastAsia="zh-CN"/>
              </w:rPr>
            </w:pPr>
            <w:r>
              <w:rPr>
                <w:rFonts w:hint="eastAsia"/>
                <w:vertAlign w:val="baseline"/>
                <w:lang w:val="en-US" w:eastAsia="zh-CN"/>
              </w:rPr>
              <w:t>Enhanced TA adjustment error</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65ns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65ns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65ns</w:t>
            </w:r>
          </w:p>
        </w:tc>
        <w:tc>
          <w:tcPr>
            <w:tcW w:w="1000"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57"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left"/>
              <w:textAlignment w:val="baseline"/>
              <w:rPr>
                <w:rFonts w:hint="default"/>
                <w:vertAlign w:val="baseline"/>
                <w:lang w:val="en-US" w:eastAsia="zh-CN"/>
              </w:rPr>
            </w:pPr>
            <w:r>
              <w:rPr>
                <w:rFonts w:hint="eastAsia"/>
                <w:vertAlign w:val="baseline"/>
                <w:lang w:val="en-US" w:eastAsia="zh-CN"/>
              </w:rPr>
              <w:t>Achieved accuracy of Uu interface</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375ns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408ns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440ns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277ns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294ns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343ns</w:t>
            </w:r>
          </w:p>
        </w:tc>
        <w:tc>
          <w:tcPr>
            <w:tcW w:w="999"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343ns</w:t>
            </w:r>
          </w:p>
        </w:tc>
        <w:tc>
          <w:tcPr>
            <w:tcW w:w="1000" w:type="dxa"/>
          </w:tcPr>
          <w:p>
            <w:pPr>
              <w:keepNext w:val="0"/>
              <w:keepLines w:val="0"/>
              <w:pageBreakBefore w:val="0"/>
              <w:widowControl/>
              <w:kinsoku/>
              <w:wordWrap/>
              <w:overflowPunct w:val="0"/>
              <w:topLinePunct w:val="0"/>
              <w:autoSpaceDE w:val="0"/>
              <w:autoSpaceDN w:val="0"/>
              <w:bidi w:val="0"/>
              <w:adjustRightInd w:val="0"/>
              <w:snapToGrid/>
              <w:spacing w:before="137" w:beforeLines="50"/>
              <w:jc w:val="center"/>
              <w:textAlignment w:val="baseline"/>
              <w:rPr>
                <w:rFonts w:hint="default"/>
                <w:vertAlign w:val="baseline"/>
                <w:lang w:val="en-US" w:eastAsia="zh-CN"/>
              </w:rPr>
            </w:pPr>
            <w:r>
              <w:rPr>
                <w:rFonts w:hint="eastAsia"/>
                <w:vertAlign w:val="baseline"/>
                <w:lang w:val="en-US" w:eastAsia="zh-CN"/>
              </w:rPr>
              <w:t>229ns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i w:val="0"/>
          <w:iCs w:val="0"/>
          <w:lang w:eastAsia="zh-CN"/>
        </w:rPr>
      </w:pPr>
      <w:bookmarkStart w:id="3" w:name="_GoBack"/>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rFonts w:hint="eastAsia"/>
          <w:i/>
          <w:iCs/>
          <w:lang w:val="en-US" w:eastAsia="zh-CN"/>
        </w:rPr>
        <w:t xml:space="preserve">Both of the enhanced TA granularity and the enhanced requirement for TA adjustment and Te </w:t>
      </w:r>
      <w:r>
        <w:rPr>
          <w:rFonts w:hint="eastAsia"/>
          <w:i/>
          <w:iCs/>
          <w:lang w:eastAsia="zh-CN"/>
        </w:rPr>
        <w:t>can be considered</w:t>
      </w:r>
      <w:r>
        <w:rPr>
          <w:rFonts w:hint="eastAsia"/>
          <w:i/>
          <w:iCs/>
          <w:lang w:val="en-US" w:eastAsia="zh-CN"/>
        </w:rPr>
        <w:t xml:space="preserve"> to improve the accuracy for control-to-control scenario</w:t>
      </w:r>
      <w:r>
        <w:rPr>
          <w:rFonts w:hint="eastAsia"/>
          <w:i/>
          <w:iCs/>
          <w:lang w:eastAsia="zh-CN"/>
        </w:rPr>
        <w:t>.</w:t>
      </w:r>
    </w:p>
    <w:bookmarkEnd w:id="3"/>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rFonts w:hint="eastAsia"/>
          <w:i/>
          <w:iCs/>
          <w:lang w:val="en-US" w:eastAsia="zh-CN"/>
        </w:rPr>
      </w:pPr>
      <w:r>
        <w:rPr>
          <w:rFonts w:hint="eastAsia"/>
          <w:b/>
          <w:bCs/>
          <w:i/>
          <w:iCs/>
          <w:lang w:val="en-US" w:eastAsia="zh-CN"/>
        </w:rPr>
        <w:t>Observation 1:</w:t>
      </w:r>
      <w:r>
        <w:rPr>
          <w:rFonts w:hint="eastAsia"/>
          <w:i/>
          <w:iCs/>
          <w:lang w:val="en-US" w:eastAsia="zh-CN"/>
        </w:rPr>
        <w:t xml:space="preserve"> The time errors at 15kHz and 30kHz are 473ns and 375ns, respectively.</w:t>
      </w:r>
    </w:p>
    <w:p>
      <w:pPr>
        <w:rPr>
          <w:rFonts w:hint="default"/>
          <w:i/>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w:t>
      </w:r>
      <w:r>
        <w:rPr>
          <w:rFonts w:hint="eastAsia"/>
          <w:i/>
          <w:iCs/>
          <w:lang w:eastAsia="zh-CN"/>
        </w:rPr>
        <w:t xml:space="preserve"> The maximum timing synchronization error with UE propagation delay compensation should be 1/2*(e1+e2+e3+e4+e5), where e1 is the gNB transmitting time error, e2 is the </w:t>
      </w:r>
      <w:r>
        <w:rPr>
          <w:rFonts w:hint="eastAsia"/>
          <w:i/>
          <w:iCs/>
          <w:lang w:val="en-US" w:eastAsia="zh-CN"/>
        </w:rPr>
        <w:t>UE detection</w:t>
      </w:r>
      <w:r>
        <w:rPr>
          <w:rFonts w:hint="eastAsia"/>
          <w:i/>
          <w:iCs/>
          <w:lang w:eastAsia="zh-CN"/>
        </w:rPr>
        <w:t xml:space="preserve"> error, e3 is the </w:t>
      </w:r>
      <w:r>
        <w:rPr>
          <w:rFonts w:hint="eastAsia"/>
          <w:i/>
          <w:iCs/>
          <w:lang w:val="en-US" w:eastAsia="zh-CN"/>
        </w:rPr>
        <w:t>TA indication</w:t>
      </w:r>
      <w:r>
        <w:rPr>
          <w:rFonts w:hint="eastAsia"/>
          <w:i/>
          <w:iCs/>
          <w:lang w:eastAsia="zh-CN"/>
        </w:rPr>
        <w:t xml:space="preserve"> error, e</w:t>
      </w:r>
      <w:r>
        <w:rPr>
          <w:rFonts w:hint="eastAsia"/>
          <w:i/>
          <w:iCs/>
          <w:lang w:val="en-US" w:eastAsia="zh-CN"/>
        </w:rPr>
        <w:t>4</w:t>
      </w:r>
      <w:r>
        <w:rPr>
          <w:rFonts w:hint="eastAsia"/>
          <w:i/>
          <w:iCs/>
          <w:lang w:eastAsia="zh-CN"/>
        </w:rPr>
        <w:t xml:space="preserve"> is the TA adjustment error</w:t>
      </w:r>
      <w:r>
        <w:rPr>
          <w:rFonts w:hint="eastAsia"/>
          <w:i/>
          <w:iCs/>
          <w:lang w:val="en-US" w:eastAsia="zh-CN"/>
        </w:rPr>
        <w:t>, e5 is the BS detection error.</w:t>
      </w:r>
    </w:p>
    <w:p>
      <w:pPr>
        <w:rPr>
          <w:i w:val="0"/>
          <w:iCs w:val="0"/>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rFonts w:hint="eastAsia"/>
          <w:i/>
          <w:iCs/>
          <w:lang w:val="en-US" w:eastAsia="zh-CN"/>
        </w:rPr>
        <w:t xml:space="preserve">Both of the enhanced TA granularity and the enhanced requirement for TA adjustment and Te </w:t>
      </w:r>
      <w:r>
        <w:rPr>
          <w:rFonts w:hint="eastAsia"/>
          <w:i/>
          <w:iCs/>
          <w:lang w:eastAsia="zh-CN"/>
        </w:rPr>
        <w:t>can be considered</w:t>
      </w:r>
      <w:r>
        <w:rPr>
          <w:rFonts w:hint="eastAsia"/>
          <w:i/>
          <w:iCs/>
          <w:lang w:val="en-US" w:eastAsia="zh-CN"/>
        </w:rPr>
        <w:t xml:space="preserve"> to improve the accuracy for control-to-control scenario</w:t>
      </w:r>
      <w:r>
        <w:rPr>
          <w:rFonts w:hint="eastAsia"/>
          <w:i/>
          <w:iCs/>
          <w:lang w:eastAsia="zh-CN"/>
        </w:rPr>
        <w:t>.</w:t>
      </w:r>
    </w:p>
    <w:p>
      <w:pPr>
        <w:pStyle w:val="2"/>
        <w:rPr>
          <w:lang w:eastAsia="zh-CN"/>
        </w:rPr>
      </w:pPr>
      <w:r>
        <w:rPr>
          <w:rFonts w:hint="eastAsia"/>
          <w:lang w:eastAsia="zh-CN"/>
        </w:rPr>
        <w:t>R</w:t>
      </w:r>
      <w:r>
        <w:rPr>
          <w:lang w:eastAsia="zh-CN"/>
        </w:rPr>
        <w:t>eference</w:t>
      </w:r>
    </w:p>
    <w:p>
      <w:pPr>
        <w:pStyle w:val="126"/>
        <w:rPr>
          <w:lang w:eastAsia="zh-CN"/>
        </w:rPr>
      </w:pPr>
      <w:r>
        <w:rPr>
          <w:rFonts w:hint="eastAsia"/>
          <w:lang w:val="en-US" w:eastAsia="zh-CN"/>
        </w:rPr>
        <w:t xml:space="preserve">3GPP RAN1 #102-e </w:t>
      </w:r>
      <w:r>
        <w:rPr>
          <w:rFonts w:hint="eastAsia"/>
          <w:lang w:eastAsia="zh-CN"/>
        </w:rPr>
        <w:t>chairman notes</w:t>
      </w:r>
    </w:p>
    <w:p>
      <w:pPr>
        <w:pStyle w:val="2"/>
        <w:rPr>
          <w:lang w:eastAsia="zh-CN"/>
        </w:rPr>
      </w:pPr>
      <w:r>
        <w:rPr>
          <w:rFonts w:hint="eastAsia"/>
          <w:lang w:val="en-US" w:eastAsia="zh-CN"/>
        </w:rPr>
        <w:t>Appendix</w:t>
      </w:r>
    </w:p>
    <w:p>
      <w:pPr>
        <w:numPr>
          <w:ilvl w:val="255"/>
          <w:numId w:val="0"/>
        </w:numPr>
        <w:rPr>
          <w:lang w:eastAsia="zh-CN"/>
        </w:rPr>
      </w:pPr>
      <w:r>
        <w:rPr>
          <w:rFonts w:hint="eastAsia"/>
          <w:lang w:eastAsia="zh-CN"/>
        </w:rPr>
        <w:t>In this section, the following cases are analyzed for the synchronization accuracy of Uu interface.</w:t>
      </w:r>
    </w:p>
    <w:p>
      <w:pPr>
        <w:numPr>
          <w:ilvl w:val="255"/>
          <w:numId w:val="0"/>
        </w:numPr>
        <w:rPr>
          <w:lang w:eastAsia="zh-CN"/>
        </w:rPr>
      </w:pPr>
      <w:r>
        <w:rPr>
          <w:rFonts w:hint="eastAsia"/>
          <w:lang w:eastAsia="zh-CN"/>
        </w:rPr>
        <w:t>Case 1: all the factors are positive errors as shown in Figure 2</w:t>
      </w:r>
    </w:p>
    <w:p>
      <w:pPr>
        <w:numPr>
          <w:ilvl w:val="255"/>
          <w:numId w:val="0"/>
        </w:numPr>
        <w:rPr>
          <w:lang w:eastAsia="zh-CN"/>
        </w:rPr>
      </w:pPr>
      <w:r>
        <w:rPr>
          <w:rFonts w:hint="eastAsia"/>
          <w:lang w:eastAsia="zh-CN"/>
        </w:rPr>
        <w:t>Case 2: only e1 is negative error while the other factors are positive errors as shown in Figure 3</w:t>
      </w:r>
    </w:p>
    <w:p>
      <w:pPr>
        <w:numPr>
          <w:ilvl w:val="255"/>
          <w:numId w:val="0"/>
        </w:numPr>
        <w:rPr>
          <w:lang w:eastAsia="zh-CN"/>
        </w:rPr>
      </w:pPr>
      <w:r>
        <w:rPr>
          <w:rFonts w:hint="eastAsia"/>
          <w:lang w:eastAsia="zh-CN"/>
        </w:rPr>
        <w:t>Case 3: only e2 is negative error while the other factors are positive errors as shown in Figure 4</w:t>
      </w:r>
    </w:p>
    <w:p>
      <w:pPr>
        <w:numPr>
          <w:ilvl w:val="255"/>
          <w:numId w:val="0"/>
        </w:numPr>
        <w:rPr>
          <w:lang w:eastAsia="zh-CN"/>
        </w:rPr>
      </w:pPr>
      <w:r>
        <w:rPr>
          <w:rFonts w:hint="eastAsia"/>
          <w:lang w:eastAsia="zh-CN"/>
        </w:rPr>
        <w:t>Case 4: only e1 and e2 are positive errors while the other factors are negative errors as shown in Figure 5</w:t>
      </w:r>
    </w:p>
    <w:p>
      <w:pPr>
        <w:numPr>
          <w:ilvl w:val="255"/>
          <w:numId w:val="0"/>
        </w:numPr>
        <w:rPr>
          <w:lang w:eastAsia="zh-CN"/>
        </w:rPr>
      </w:pPr>
      <w:r>
        <w:rPr>
          <w:rFonts w:hint="eastAsia"/>
          <w:lang w:eastAsia="zh-CN"/>
        </w:rPr>
        <w:t>Case 5: all the factors are negative errors as shown in Figure 6</w:t>
      </w:r>
    </w:p>
    <w:p>
      <w:pPr>
        <w:numPr>
          <w:ilvl w:val="255"/>
          <w:numId w:val="0"/>
        </w:numPr>
        <w:rPr>
          <w:lang w:eastAsia="zh-CN"/>
        </w:rPr>
      </w:pPr>
      <w:r>
        <w:rPr>
          <w:rFonts w:hint="eastAsia"/>
          <w:lang w:eastAsia="zh-CN"/>
        </w:rPr>
        <w:t xml:space="preserve">The results are summarized in Table 2. It can be seen that the maximum time error is 1/2*(e1+e2+e3+e4+e5). </w:t>
      </w:r>
    </w:p>
    <w:p>
      <w:pPr>
        <w:numPr>
          <w:ilvl w:val="255"/>
          <w:numId w:val="0"/>
        </w:numPr>
        <w:jc w:val="center"/>
        <w:rPr>
          <w:lang w:eastAsia="zh-CN"/>
        </w:rPr>
      </w:pPr>
      <w:r>
        <w:rPr>
          <w:rFonts w:hint="eastAsia"/>
          <w:lang w:eastAsia="zh-CN"/>
        </w:rPr>
        <w:t xml:space="preserve">Table </w:t>
      </w:r>
      <w:r>
        <w:rPr>
          <w:rFonts w:hint="eastAsia"/>
          <w:lang w:val="en-US" w:eastAsia="zh-CN"/>
        </w:rPr>
        <w:t>3</w:t>
      </w:r>
      <w:r>
        <w:rPr>
          <w:rFonts w:hint="eastAsia"/>
          <w:lang w:eastAsia="zh-CN"/>
        </w:rPr>
        <w:t xml:space="preserve"> The synchronization error of Uu interface for different cases</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2223"/>
        <w:gridCol w:w="2223"/>
        <w:gridCol w:w="2223"/>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pPr>
              <w:numPr>
                <w:ilvl w:val="255"/>
                <w:numId w:val="0"/>
              </w:numPr>
              <w:spacing w:before="120" w:line="280" w:lineRule="atLeast"/>
              <w:rPr>
                <w:lang w:eastAsia="zh-CN"/>
              </w:rPr>
            </w:pPr>
          </w:p>
        </w:tc>
        <w:tc>
          <w:tcPr>
            <w:tcW w:w="2223" w:type="dxa"/>
          </w:tcPr>
          <w:p>
            <w:pPr>
              <w:numPr>
                <w:ilvl w:val="255"/>
                <w:numId w:val="0"/>
              </w:numPr>
              <w:spacing w:before="120" w:line="280" w:lineRule="atLeast"/>
              <w:rPr>
                <w:lang w:eastAsia="zh-CN"/>
              </w:rPr>
            </w:pPr>
            <w:r>
              <w:rPr>
                <w:rFonts w:hint="eastAsia"/>
                <w:lang w:eastAsia="zh-CN"/>
              </w:rPr>
              <w:t>TA</w:t>
            </w:r>
          </w:p>
        </w:tc>
        <w:tc>
          <w:tcPr>
            <w:tcW w:w="2223" w:type="dxa"/>
          </w:tcPr>
          <w:p>
            <w:pPr>
              <w:numPr>
                <w:ilvl w:val="255"/>
                <w:numId w:val="0"/>
              </w:numPr>
              <w:spacing w:before="120" w:line="280" w:lineRule="atLeast"/>
              <w:rPr>
                <w:lang w:eastAsia="zh-CN"/>
              </w:rPr>
            </w:pPr>
            <w:r>
              <w:rPr>
                <w:rFonts w:hint="eastAsia"/>
                <w:lang w:eastAsia="zh-CN"/>
              </w:rPr>
              <w:t>The time of t4 calculated by the UE</w:t>
            </w:r>
          </w:p>
        </w:tc>
        <w:tc>
          <w:tcPr>
            <w:tcW w:w="2223" w:type="dxa"/>
          </w:tcPr>
          <w:p>
            <w:pPr>
              <w:numPr>
                <w:ilvl w:val="255"/>
                <w:numId w:val="0"/>
              </w:numPr>
              <w:spacing w:before="120" w:line="280" w:lineRule="atLeast"/>
              <w:rPr>
                <w:lang w:eastAsia="zh-CN"/>
              </w:rPr>
            </w:pPr>
            <w:r>
              <w:rPr>
                <w:rFonts w:hint="eastAsia"/>
                <w:lang w:eastAsia="zh-CN"/>
              </w:rPr>
              <w:t>The actual time of t4</w:t>
            </w:r>
          </w:p>
        </w:tc>
        <w:tc>
          <w:tcPr>
            <w:tcW w:w="2223" w:type="dxa"/>
          </w:tcPr>
          <w:p>
            <w:pPr>
              <w:numPr>
                <w:ilvl w:val="255"/>
                <w:numId w:val="0"/>
              </w:numPr>
              <w:spacing w:before="120" w:line="280" w:lineRule="atLeast"/>
              <w:rPr>
                <w:lang w:eastAsia="zh-CN"/>
              </w:rPr>
            </w:pPr>
            <w:r>
              <w:rPr>
                <w:rFonts w:hint="eastAsia"/>
                <w:lang w:eastAsia="zh-CN"/>
              </w:rPr>
              <w:t>Total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pPr>
              <w:numPr>
                <w:ilvl w:val="255"/>
                <w:numId w:val="0"/>
              </w:numPr>
              <w:spacing w:before="120" w:line="280" w:lineRule="atLeast"/>
              <w:rPr>
                <w:lang w:eastAsia="zh-CN"/>
              </w:rPr>
            </w:pPr>
            <w:r>
              <w:rPr>
                <w:rFonts w:hint="eastAsia"/>
                <w:lang w:eastAsia="zh-CN"/>
              </w:rPr>
              <w:t>Case 1</w:t>
            </w:r>
          </w:p>
        </w:tc>
        <w:tc>
          <w:tcPr>
            <w:tcW w:w="2223" w:type="dxa"/>
          </w:tcPr>
          <w:p>
            <w:pPr>
              <w:numPr>
                <w:ilvl w:val="255"/>
                <w:numId w:val="0"/>
              </w:numPr>
              <w:spacing w:before="120" w:line="280" w:lineRule="atLeast"/>
              <w:rPr>
                <w:lang w:eastAsia="zh-CN"/>
              </w:rPr>
            </w:pPr>
            <w:r>
              <w:rPr>
                <w:rFonts w:hint="eastAsia"/>
                <w:lang w:eastAsia="zh-CN"/>
              </w:rPr>
              <w:t>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t1+1/2*(2P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pPr>
              <w:numPr>
                <w:ilvl w:val="255"/>
                <w:numId w:val="0"/>
              </w:numPr>
              <w:spacing w:before="120" w:line="280" w:lineRule="atLeast"/>
              <w:rPr>
                <w:lang w:eastAsia="zh-CN"/>
              </w:rPr>
            </w:pPr>
            <w:r>
              <w:rPr>
                <w:rFonts w:hint="eastAsia"/>
                <w:lang w:eastAsia="zh-CN"/>
              </w:rPr>
              <w:t>1/2*(e3+e4+e5-e1-e2)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pPr>
              <w:numPr>
                <w:ilvl w:val="255"/>
                <w:numId w:val="0"/>
              </w:numPr>
              <w:spacing w:before="120" w:line="280" w:lineRule="atLeast"/>
              <w:rPr>
                <w:lang w:eastAsia="zh-CN"/>
              </w:rPr>
            </w:pPr>
            <w:r>
              <w:rPr>
                <w:rFonts w:hint="eastAsia"/>
                <w:lang w:eastAsia="zh-CN"/>
              </w:rPr>
              <w:t>Case 2</w:t>
            </w:r>
          </w:p>
        </w:tc>
        <w:tc>
          <w:tcPr>
            <w:tcW w:w="2223" w:type="dxa"/>
          </w:tcPr>
          <w:p>
            <w:pPr>
              <w:numPr>
                <w:ilvl w:val="255"/>
                <w:numId w:val="0"/>
              </w:numPr>
              <w:spacing w:before="120" w:line="280" w:lineRule="atLeast"/>
              <w:rPr>
                <w:lang w:eastAsia="zh-CN"/>
              </w:rPr>
            </w:pPr>
            <w:r>
              <w:rPr>
                <w:rFonts w:hint="eastAsia"/>
                <w:lang w:eastAsia="zh-CN"/>
              </w:rPr>
              <w:t>2P</w:t>
            </w:r>
            <w:r>
              <w:rPr>
                <w:vertAlign w:val="subscript"/>
                <w:lang w:eastAsia="zh-CN"/>
              </w:rPr>
              <w:t>DL</w:t>
            </w:r>
            <w:r>
              <w:rPr>
                <w:rFonts w:hint="eastAsia"/>
                <w:lang w:eastAsia="zh-CN"/>
              </w:rPr>
              <w:t>-e1+e2+e3+e5+e5</w:t>
            </w:r>
          </w:p>
        </w:tc>
        <w:tc>
          <w:tcPr>
            <w:tcW w:w="2223" w:type="dxa"/>
          </w:tcPr>
          <w:p>
            <w:pPr>
              <w:numPr>
                <w:ilvl w:val="255"/>
                <w:numId w:val="0"/>
              </w:numPr>
              <w:spacing w:before="120" w:line="280" w:lineRule="atLeast"/>
              <w:rPr>
                <w:lang w:eastAsia="zh-CN"/>
              </w:rPr>
            </w:pPr>
            <w:r>
              <w:rPr>
                <w:rFonts w:hint="eastAsia"/>
                <w:lang w:eastAsia="zh-CN"/>
              </w:rPr>
              <w:t>t1+1/2*(2P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pPr>
              <w:numPr>
                <w:ilvl w:val="255"/>
                <w:numId w:val="0"/>
              </w:numPr>
              <w:spacing w:before="120" w:line="280" w:lineRule="atLeast"/>
              <w:rPr>
                <w:lang w:eastAsia="zh-CN"/>
              </w:rPr>
            </w:pPr>
            <w:r>
              <w:rPr>
                <w:rFonts w:hint="eastAsia"/>
                <w:lang w:eastAsia="zh-CN"/>
              </w:rPr>
              <w:t>1/2*(e3+e4+e5+e1-e2)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pPr>
              <w:numPr>
                <w:ilvl w:val="255"/>
                <w:numId w:val="0"/>
              </w:numPr>
              <w:spacing w:before="120" w:line="280" w:lineRule="atLeast"/>
              <w:rPr>
                <w:lang w:eastAsia="zh-CN"/>
              </w:rPr>
            </w:pPr>
            <w:r>
              <w:rPr>
                <w:rFonts w:hint="eastAsia"/>
                <w:lang w:eastAsia="zh-CN"/>
              </w:rPr>
              <w:t>Case 3</w:t>
            </w:r>
          </w:p>
        </w:tc>
        <w:tc>
          <w:tcPr>
            <w:tcW w:w="2223" w:type="dxa"/>
          </w:tcPr>
          <w:p>
            <w:pPr>
              <w:numPr>
                <w:ilvl w:val="255"/>
                <w:numId w:val="0"/>
              </w:numPr>
              <w:spacing w:before="120" w:line="280" w:lineRule="atLeast"/>
              <w:rPr>
                <w:lang w:eastAsia="zh-CN"/>
              </w:rPr>
            </w:pPr>
            <w:r>
              <w:rPr>
                <w:rFonts w:hint="eastAsia"/>
                <w:lang w:eastAsia="zh-CN"/>
              </w:rPr>
              <w:t>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t1+1/2*(2P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pPr>
              <w:numPr>
                <w:ilvl w:val="255"/>
                <w:numId w:val="0"/>
              </w:numPr>
              <w:spacing w:before="120" w:line="280" w:lineRule="atLeast"/>
              <w:rPr>
                <w:lang w:eastAsia="zh-CN"/>
              </w:rPr>
            </w:pPr>
            <w:r>
              <w:rPr>
                <w:rFonts w:hint="eastAsia"/>
                <w:lang w:eastAsia="zh-CN"/>
              </w:rPr>
              <w:t>1/2*(e3+e4+e5-e1+e2)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pPr>
              <w:numPr>
                <w:ilvl w:val="255"/>
                <w:numId w:val="0"/>
              </w:numPr>
              <w:spacing w:before="120" w:line="280" w:lineRule="atLeast"/>
              <w:rPr>
                <w:lang w:eastAsia="zh-CN"/>
              </w:rPr>
            </w:pPr>
            <w:r>
              <w:rPr>
                <w:rFonts w:hint="eastAsia"/>
                <w:lang w:eastAsia="zh-CN"/>
              </w:rPr>
              <w:t>Case 4</w:t>
            </w:r>
          </w:p>
        </w:tc>
        <w:tc>
          <w:tcPr>
            <w:tcW w:w="2223" w:type="dxa"/>
          </w:tcPr>
          <w:p>
            <w:pPr>
              <w:numPr>
                <w:ilvl w:val="255"/>
                <w:numId w:val="0"/>
              </w:numPr>
              <w:spacing w:before="120" w:line="280" w:lineRule="atLeast"/>
              <w:rPr>
                <w:lang w:eastAsia="zh-CN"/>
              </w:rPr>
            </w:pPr>
            <w:r>
              <w:rPr>
                <w:rFonts w:hint="eastAsia"/>
                <w:lang w:eastAsia="zh-CN"/>
              </w:rPr>
              <w:t>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t1+1/2*(2P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pPr>
              <w:numPr>
                <w:ilvl w:val="255"/>
                <w:numId w:val="0"/>
              </w:numPr>
              <w:spacing w:before="120" w:line="280" w:lineRule="atLeast"/>
              <w:rPr>
                <w:lang w:eastAsia="zh-CN"/>
              </w:rPr>
            </w:pPr>
            <w:r>
              <w:rPr>
                <w:rFonts w:hint="eastAsia"/>
                <w:lang w:eastAsia="zh-CN"/>
              </w:rPr>
              <w:t>1/2*(-e1-e2-e3-e4-e5)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pPr>
              <w:numPr>
                <w:ilvl w:val="255"/>
                <w:numId w:val="0"/>
              </w:numPr>
              <w:spacing w:before="120" w:line="280" w:lineRule="atLeast"/>
              <w:rPr>
                <w:lang w:eastAsia="zh-CN"/>
              </w:rPr>
            </w:pPr>
            <w:r>
              <w:rPr>
                <w:rFonts w:hint="eastAsia"/>
                <w:lang w:eastAsia="zh-CN"/>
              </w:rPr>
              <w:t>Case 5</w:t>
            </w:r>
          </w:p>
        </w:tc>
        <w:tc>
          <w:tcPr>
            <w:tcW w:w="2223" w:type="dxa"/>
          </w:tcPr>
          <w:p>
            <w:pPr>
              <w:numPr>
                <w:ilvl w:val="255"/>
                <w:numId w:val="0"/>
              </w:numPr>
              <w:spacing w:before="120" w:line="280" w:lineRule="atLeast"/>
              <w:rPr>
                <w:lang w:eastAsia="zh-CN"/>
              </w:rPr>
            </w:pPr>
            <w:r>
              <w:rPr>
                <w:rFonts w:hint="eastAsia"/>
                <w:lang w:eastAsia="zh-CN"/>
              </w:rPr>
              <w:t>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t1+1/2*(2P</w:t>
            </w:r>
            <w:r>
              <w:rPr>
                <w:rFonts w:hint="eastAsia"/>
                <w:vertAlign w:val="subscript"/>
                <w:lang w:eastAsia="zh-CN"/>
              </w:rPr>
              <w:t>DL</w:t>
            </w:r>
            <w:r>
              <w:rPr>
                <w:rFonts w:hint="eastAsia"/>
                <w:lang w:eastAsia="zh-CN"/>
              </w:rPr>
              <w:t>-e1-e2-e3-e4-e5)</w:t>
            </w:r>
          </w:p>
        </w:tc>
        <w:tc>
          <w:tcPr>
            <w:tcW w:w="2223" w:type="dxa"/>
          </w:tcPr>
          <w:p>
            <w:pPr>
              <w:numPr>
                <w:ilvl w:val="255"/>
                <w:numId w:val="0"/>
              </w:numPr>
              <w:spacing w:before="120" w:line="280" w:lineRule="atLeast"/>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pPr>
              <w:numPr>
                <w:ilvl w:val="255"/>
                <w:numId w:val="0"/>
              </w:numPr>
              <w:spacing w:before="120" w:line="280" w:lineRule="atLeast"/>
              <w:rPr>
                <w:lang w:eastAsia="zh-CN"/>
              </w:rPr>
            </w:pPr>
            <w:r>
              <w:rPr>
                <w:rFonts w:hint="eastAsia"/>
                <w:lang w:eastAsia="zh-CN"/>
              </w:rPr>
              <w:t>1/2*(e1+e2-e3-e4-e5)</w:t>
            </w:r>
          </w:p>
        </w:tc>
      </w:tr>
    </w:tbl>
    <w:p>
      <w:pPr>
        <w:numPr>
          <w:ilvl w:val="255"/>
          <w:numId w:val="0"/>
        </w:numPr>
        <w:spacing w:before="120" w:beforeLines="50"/>
        <w:rPr>
          <w:lang w:eastAsia="zh-CN"/>
        </w:rPr>
      </w:pPr>
      <w:r>
        <w:rPr>
          <w:rFonts w:hint="eastAsia"/>
          <w:lang w:eastAsia="zh-CN"/>
        </w:rPr>
        <w:t>Note: all the e</w:t>
      </w:r>
      <w:r>
        <w:rPr>
          <w:rFonts w:hint="eastAsia"/>
          <w:vertAlign w:val="subscript"/>
          <w:lang w:eastAsia="zh-CN"/>
        </w:rPr>
        <w:t>x</w:t>
      </w:r>
      <w:r>
        <w:rPr>
          <w:rFonts w:hint="eastAsia"/>
          <w:lang w:eastAsia="zh-CN"/>
        </w:rPr>
        <w:t xml:space="preserve"> in the equations are the positive time duration value.</w:t>
      </w:r>
    </w:p>
    <w:p>
      <w:pPr>
        <w:numPr>
          <w:ilvl w:val="255"/>
          <w:numId w:val="0"/>
        </w:numPr>
        <w:jc w:val="center"/>
      </w:pPr>
      <w:r>
        <w:object>
          <v:shape id="_x0000_i1026" o:spt="75" type="#_x0000_t75" style="height:320.25pt;width:468.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numPr>
          <w:ilvl w:val="255"/>
          <w:numId w:val="0"/>
        </w:numPr>
        <w:jc w:val="center"/>
        <w:rPr>
          <w:lang w:eastAsia="zh-CN"/>
        </w:rPr>
      </w:pPr>
      <w:r>
        <w:rPr>
          <w:rFonts w:hint="eastAsia"/>
          <w:lang w:eastAsia="zh-CN"/>
        </w:rPr>
        <w:t>Figure 2 Case 1</w:t>
      </w:r>
    </w:p>
    <w:p>
      <w:pPr>
        <w:numPr>
          <w:ilvl w:val="255"/>
          <w:numId w:val="0"/>
        </w:numPr>
        <w:jc w:val="center"/>
      </w:pPr>
      <w:r>
        <w:object>
          <v:shape id="_x0000_i1027" o:spt="75" type="#_x0000_t75" style="height:312.8pt;width:440.4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numPr>
          <w:ilvl w:val="255"/>
          <w:numId w:val="0"/>
        </w:numPr>
        <w:jc w:val="center"/>
        <w:rPr>
          <w:lang w:eastAsia="zh-CN"/>
        </w:rPr>
      </w:pPr>
      <w:r>
        <w:rPr>
          <w:rFonts w:hint="eastAsia"/>
          <w:lang w:eastAsia="zh-CN"/>
        </w:rPr>
        <w:t>Figure 3 Case 2</w:t>
      </w:r>
    </w:p>
    <w:p>
      <w:pPr>
        <w:numPr>
          <w:ilvl w:val="255"/>
          <w:numId w:val="0"/>
        </w:numPr>
        <w:jc w:val="center"/>
      </w:pPr>
      <w:r>
        <w:object>
          <v:shape id="_x0000_i1028" o:spt="75" type="#_x0000_t75" style="height:343.15pt;width:383.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numPr>
          <w:ilvl w:val="255"/>
          <w:numId w:val="0"/>
        </w:numPr>
        <w:jc w:val="center"/>
        <w:rPr>
          <w:lang w:eastAsia="zh-CN"/>
        </w:rPr>
      </w:pPr>
      <w:r>
        <w:rPr>
          <w:rFonts w:hint="eastAsia"/>
          <w:lang w:eastAsia="zh-CN"/>
        </w:rPr>
        <w:t>Figure 4 Case 3</w:t>
      </w:r>
    </w:p>
    <w:p>
      <w:pPr>
        <w:numPr>
          <w:ilvl w:val="255"/>
          <w:numId w:val="0"/>
        </w:numPr>
        <w:jc w:val="center"/>
      </w:pPr>
      <w:r>
        <w:object>
          <v:shape id="_x0000_i1029" o:spt="75" type="#_x0000_t75" style="height:365.6pt;width:282.4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numPr>
          <w:ilvl w:val="255"/>
          <w:numId w:val="0"/>
        </w:numPr>
        <w:jc w:val="center"/>
        <w:rPr>
          <w:lang w:eastAsia="zh-CN"/>
        </w:rPr>
      </w:pPr>
      <w:r>
        <w:rPr>
          <w:rFonts w:hint="eastAsia"/>
          <w:lang w:eastAsia="zh-CN"/>
        </w:rPr>
        <w:t>Figure 5 Case 4</w:t>
      </w:r>
    </w:p>
    <w:p>
      <w:pPr>
        <w:numPr>
          <w:ilvl w:val="255"/>
          <w:numId w:val="0"/>
        </w:numPr>
        <w:jc w:val="center"/>
      </w:pPr>
    </w:p>
    <w:p>
      <w:pPr>
        <w:numPr>
          <w:ilvl w:val="255"/>
          <w:numId w:val="0"/>
        </w:numPr>
        <w:jc w:val="center"/>
      </w:pPr>
      <w:r>
        <w:object>
          <v:shape id="_x0000_i1030" o:spt="75" type="#_x0000_t75" style="height:436.7pt;width:30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numPr>
          <w:ilvl w:val="255"/>
          <w:numId w:val="0"/>
        </w:numPr>
        <w:jc w:val="center"/>
        <w:rPr>
          <w:lang w:eastAsia="zh-CN"/>
        </w:rPr>
      </w:pPr>
      <w:r>
        <w:rPr>
          <w:rFonts w:hint="eastAsia"/>
          <w:lang w:eastAsia="zh-CN"/>
        </w:rPr>
        <w:t>Figure 6 Case 5</w:t>
      </w:r>
    </w:p>
    <w:p>
      <w:pPr>
        <w:numPr>
          <w:ilvl w:val="255"/>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BD8A94"/>
    <w:multiLevelType w:val="multilevel"/>
    <w:tmpl w:val="E6BD8A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4B22C3F"/>
    <w:multiLevelType w:val="multilevel"/>
    <w:tmpl w:val="14B22C3F"/>
    <w:lvl w:ilvl="0" w:tentative="0">
      <w:start w:val="1"/>
      <w:numFmt w:val="bullet"/>
      <w:lvlText w:val=""/>
      <w:lvlJc w:val="left"/>
      <w:pPr>
        <w:ind w:left="720" w:hanging="360"/>
      </w:pPr>
      <w:rPr>
        <w:rFonts w:hint="default" w:ascii="Symbol" w:hAnsi="Symbol" w:eastAsia="Batang"/>
        <w:u w:val="none"/>
      </w:rPr>
    </w:lvl>
    <w:lvl w:ilvl="1" w:tentative="0">
      <w:start w:val="1"/>
      <w:numFmt w:val="bullet"/>
      <w:lvlText w:val="o"/>
      <w:lvlJc w:val="left"/>
      <w:pPr>
        <w:ind w:left="1440" w:hanging="360"/>
      </w:pPr>
      <w:rPr>
        <w:rFonts w:hint="default" w:ascii="Courier New" w:hAnsi="Courier New" w:eastAsia="Batang"/>
        <w:u w:val="none"/>
      </w:rPr>
    </w:lvl>
    <w:lvl w:ilvl="2" w:tentative="0">
      <w:start w:val="1"/>
      <w:numFmt w:val="bullet"/>
      <w:lvlText w:val=""/>
      <w:lvlJc w:val="left"/>
      <w:pPr>
        <w:ind w:left="2160" w:hanging="360"/>
      </w:pPr>
      <w:rPr>
        <w:rFonts w:hint="default" w:ascii="Wingdings" w:hAnsi="Wingdings" w:eastAsia="Batang"/>
        <w:u w:val="none"/>
      </w:rPr>
    </w:lvl>
    <w:lvl w:ilvl="3" w:tentative="0">
      <w:start w:val="1"/>
      <w:numFmt w:val="bullet"/>
      <w:lvlText w:val=""/>
      <w:lvlJc w:val="left"/>
      <w:pPr>
        <w:ind w:left="2880" w:hanging="360"/>
      </w:pPr>
      <w:rPr>
        <w:rFonts w:hint="default" w:ascii="Symbol" w:hAnsi="Symbol" w:eastAsia="Batang"/>
        <w:u w:val="none"/>
      </w:rPr>
    </w:lvl>
    <w:lvl w:ilvl="4" w:tentative="0">
      <w:start w:val="1"/>
      <w:numFmt w:val="bullet"/>
      <w:lvlText w:val="o"/>
      <w:lvlJc w:val="left"/>
      <w:pPr>
        <w:ind w:left="3600" w:hanging="360"/>
      </w:pPr>
      <w:rPr>
        <w:rFonts w:hint="default" w:ascii="Courier New" w:hAnsi="Courier New" w:eastAsia="Batang"/>
        <w:u w:val="none"/>
      </w:rPr>
    </w:lvl>
    <w:lvl w:ilvl="5" w:tentative="0">
      <w:start w:val="1"/>
      <w:numFmt w:val="bullet"/>
      <w:lvlText w:val=""/>
      <w:lvlJc w:val="left"/>
      <w:pPr>
        <w:ind w:left="4320" w:hanging="360"/>
      </w:pPr>
      <w:rPr>
        <w:rFonts w:hint="default" w:ascii="Wingdings" w:hAnsi="Wingdings" w:eastAsia="Batang"/>
        <w:u w:val="none"/>
      </w:rPr>
    </w:lvl>
    <w:lvl w:ilvl="6" w:tentative="0">
      <w:start w:val="1"/>
      <w:numFmt w:val="bullet"/>
      <w:lvlText w:val=""/>
      <w:lvlJc w:val="left"/>
      <w:pPr>
        <w:ind w:left="5040" w:hanging="360"/>
      </w:pPr>
      <w:rPr>
        <w:rFonts w:hint="default" w:ascii="Symbol" w:hAnsi="Symbol" w:eastAsia="Batang"/>
        <w:u w:val="none"/>
      </w:rPr>
    </w:lvl>
    <w:lvl w:ilvl="7" w:tentative="0">
      <w:start w:val="1"/>
      <w:numFmt w:val="bullet"/>
      <w:lvlText w:val="o"/>
      <w:lvlJc w:val="left"/>
      <w:pPr>
        <w:ind w:left="5760" w:hanging="360"/>
      </w:pPr>
      <w:rPr>
        <w:rFonts w:hint="default" w:ascii="Courier New" w:hAnsi="Courier New" w:eastAsia="Batang"/>
        <w:u w:val="none"/>
      </w:rPr>
    </w:lvl>
    <w:lvl w:ilvl="8" w:tentative="0">
      <w:start w:val="1"/>
      <w:numFmt w:val="bullet"/>
      <w:lvlText w:val=""/>
      <w:lvlJc w:val="left"/>
      <w:pPr>
        <w:ind w:left="6480" w:hanging="360"/>
      </w:pPr>
      <w:rPr>
        <w:rFonts w:hint="default" w:ascii="Wingdings" w:hAnsi="Wingdings" w:eastAsia="Batang"/>
        <w:u w:val="none"/>
      </w:rPr>
    </w:lvl>
  </w:abstractNum>
  <w:abstractNum w:abstractNumId="3">
    <w:nsid w:val="24D257A0"/>
    <w:multiLevelType w:val="multilevel"/>
    <w:tmpl w:val="24D257A0"/>
    <w:lvl w:ilvl="0" w:tentative="0">
      <w:start w:val="1"/>
      <w:numFmt w:val="bullet"/>
      <w:lvlText w:val=""/>
      <w:lvlJc w:val="left"/>
      <w:pPr>
        <w:ind w:left="1140" w:hanging="360"/>
      </w:pPr>
      <w:rPr>
        <w:rFonts w:hint="default" w:ascii="Symbol" w:hAnsi="Symbol" w:eastAsia="Batang"/>
        <w:u w:val="none"/>
      </w:rPr>
    </w:lvl>
    <w:lvl w:ilvl="1" w:tentative="0">
      <w:start w:val="10"/>
      <w:numFmt w:val="bullet"/>
      <w:lvlText w:val="·"/>
      <w:lvlJc w:val="left"/>
      <w:pPr>
        <w:ind w:left="1860" w:hanging="360"/>
      </w:pPr>
      <w:rPr>
        <w:rFonts w:hint="default" w:ascii="Times" w:hAnsi="Times" w:eastAsia="Batang"/>
        <w:u w:val="none"/>
      </w:rPr>
    </w:lvl>
    <w:lvl w:ilvl="2" w:tentative="0">
      <w:start w:val="1"/>
      <w:numFmt w:val="bullet"/>
      <w:lvlText w:val=""/>
      <w:lvlJc w:val="left"/>
      <w:pPr>
        <w:ind w:left="2580" w:hanging="360"/>
      </w:pPr>
      <w:rPr>
        <w:rFonts w:hint="default" w:ascii="Wingdings" w:hAnsi="Wingdings" w:eastAsia="Batang"/>
        <w:u w:val="none"/>
      </w:rPr>
    </w:lvl>
    <w:lvl w:ilvl="3" w:tentative="0">
      <w:start w:val="1"/>
      <w:numFmt w:val="bullet"/>
      <w:lvlText w:val=""/>
      <w:lvlJc w:val="left"/>
      <w:pPr>
        <w:ind w:left="3300" w:hanging="360"/>
      </w:pPr>
      <w:rPr>
        <w:rFonts w:hint="default" w:ascii="Symbol" w:hAnsi="Symbol" w:eastAsia="Batang"/>
        <w:u w:val="none"/>
      </w:rPr>
    </w:lvl>
    <w:lvl w:ilvl="4" w:tentative="0">
      <w:start w:val="1"/>
      <w:numFmt w:val="bullet"/>
      <w:lvlText w:val="o"/>
      <w:lvlJc w:val="left"/>
      <w:pPr>
        <w:ind w:left="4020" w:hanging="360"/>
      </w:pPr>
      <w:rPr>
        <w:rFonts w:hint="default" w:ascii="Courier New" w:hAnsi="Courier New" w:eastAsia="Batang"/>
        <w:u w:val="none"/>
      </w:rPr>
    </w:lvl>
    <w:lvl w:ilvl="5" w:tentative="0">
      <w:start w:val="1"/>
      <w:numFmt w:val="bullet"/>
      <w:lvlText w:val=""/>
      <w:lvlJc w:val="left"/>
      <w:pPr>
        <w:ind w:left="4740" w:hanging="360"/>
      </w:pPr>
      <w:rPr>
        <w:rFonts w:hint="default" w:ascii="Wingdings" w:hAnsi="Wingdings" w:eastAsia="Batang"/>
        <w:u w:val="none"/>
      </w:rPr>
    </w:lvl>
    <w:lvl w:ilvl="6" w:tentative="0">
      <w:start w:val="1"/>
      <w:numFmt w:val="bullet"/>
      <w:lvlText w:val=""/>
      <w:lvlJc w:val="left"/>
      <w:pPr>
        <w:ind w:left="5460" w:hanging="360"/>
      </w:pPr>
      <w:rPr>
        <w:rFonts w:hint="default" w:ascii="Symbol" w:hAnsi="Symbol" w:eastAsia="Batang"/>
        <w:u w:val="none"/>
      </w:rPr>
    </w:lvl>
    <w:lvl w:ilvl="7" w:tentative="0">
      <w:start w:val="1"/>
      <w:numFmt w:val="bullet"/>
      <w:lvlText w:val="o"/>
      <w:lvlJc w:val="left"/>
      <w:pPr>
        <w:ind w:left="6180" w:hanging="360"/>
      </w:pPr>
      <w:rPr>
        <w:rFonts w:hint="default" w:ascii="Courier New" w:hAnsi="Courier New" w:eastAsia="Batang"/>
        <w:u w:val="none"/>
      </w:rPr>
    </w:lvl>
    <w:lvl w:ilvl="8" w:tentative="0">
      <w:start w:val="1"/>
      <w:numFmt w:val="bullet"/>
      <w:lvlText w:val=""/>
      <w:lvlJc w:val="left"/>
      <w:pPr>
        <w:ind w:left="6900" w:hanging="360"/>
      </w:pPr>
      <w:rPr>
        <w:rFonts w:hint="default" w:ascii="Wingdings" w:hAnsi="Wingdings" w:eastAsia="Batang"/>
        <w:u w:val="none"/>
      </w:rPr>
    </w:lvl>
  </w:abstractNum>
  <w:abstractNum w:abstractNumId="4">
    <w:nsid w:val="2598712F"/>
    <w:multiLevelType w:val="multilevel"/>
    <w:tmpl w:val="2598712F"/>
    <w:lvl w:ilvl="0" w:tentative="0">
      <w:start w:val="1"/>
      <w:numFmt w:val="bullet"/>
      <w:lvlText w:val=""/>
      <w:lvlJc w:val="left"/>
      <w:pPr>
        <w:ind w:left="720" w:hanging="360"/>
      </w:pPr>
      <w:rPr>
        <w:rFonts w:hint="default" w:ascii="Symbol" w:hAnsi="Symbol" w:eastAsia="Batang"/>
        <w:u w:val="none"/>
      </w:rPr>
    </w:lvl>
    <w:lvl w:ilvl="1" w:tentative="0">
      <w:start w:val="1"/>
      <w:numFmt w:val="bullet"/>
      <w:lvlText w:val="o"/>
      <w:lvlJc w:val="left"/>
      <w:pPr>
        <w:ind w:left="1440" w:hanging="360"/>
      </w:pPr>
      <w:rPr>
        <w:rFonts w:hint="default" w:ascii="Courier New" w:hAnsi="Courier New" w:eastAsia="Batang"/>
        <w:color w:val="000000"/>
        <w:u w:val="none" w:color="000000"/>
      </w:rPr>
    </w:lvl>
    <w:lvl w:ilvl="2" w:tentative="0">
      <w:start w:val="1"/>
      <w:numFmt w:val="bullet"/>
      <w:lvlText w:val=""/>
      <w:lvlJc w:val="left"/>
      <w:pPr>
        <w:ind w:left="2160" w:hanging="360"/>
      </w:pPr>
      <w:rPr>
        <w:rFonts w:hint="default" w:ascii="Wingdings" w:hAnsi="Wingdings" w:eastAsia="Batang"/>
        <w:u w:val="none"/>
      </w:rPr>
    </w:lvl>
    <w:lvl w:ilvl="3" w:tentative="0">
      <w:start w:val="1"/>
      <w:numFmt w:val="bullet"/>
      <w:lvlText w:val=""/>
      <w:lvlJc w:val="left"/>
      <w:pPr>
        <w:ind w:left="2880" w:hanging="360"/>
      </w:pPr>
      <w:rPr>
        <w:rFonts w:hint="default" w:ascii="Symbol" w:hAnsi="Symbol" w:eastAsia="Batang"/>
        <w:u w:val="none"/>
      </w:rPr>
    </w:lvl>
    <w:lvl w:ilvl="4" w:tentative="0">
      <w:start w:val="1"/>
      <w:numFmt w:val="bullet"/>
      <w:lvlText w:val="o"/>
      <w:lvlJc w:val="left"/>
      <w:pPr>
        <w:ind w:left="3600" w:hanging="360"/>
      </w:pPr>
      <w:rPr>
        <w:rFonts w:hint="default" w:ascii="Courier New" w:hAnsi="Courier New" w:eastAsia="Batang"/>
        <w:u w:val="none"/>
      </w:rPr>
    </w:lvl>
    <w:lvl w:ilvl="5" w:tentative="0">
      <w:start w:val="1"/>
      <w:numFmt w:val="bullet"/>
      <w:lvlText w:val=""/>
      <w:lvlJc w:val="left"/>
      <w:pPr>
        <w:ind w:left="4320" w:hanging="360"/>
      </w:pPr>
      <w:rPr>
        <w:rFonts w:hint="default" w:ascii="Wingdings" w:hAnsi="Wingdings" w:eastAsia="Batang"/>
        <w:u w:val="none"/>
      </w:rPr>
    </w:lvl>
    <w:lvl w:ilvl="6" w:tentative="0">
      <w:start w:val="1"/>
      <w:numFmt w:val="bullet"/>
      <w:lvlText w:val=""/>
      <w:lvlJc w:val="left"/>
      <w:pPr>
        <w:ind w:left="5040" w:hanging="360"/>
      </w:pPr>
      <w:rPr>
        <w:rFonts w:hint="default" w:ascii="Symbol" w:hAnsi="Symbol" w:eastAsia="Batang"/>
        <w:u w:val="none"/>
      </w:rPr>
    </w:lvl>
    <w:lvl w:ilvl="7" w:tentative="0">
      <w:start w:val="1"/>
      <w:numFmt w:val="bullet"/>
      <w:lvlText w:val="o"/>
      <w:lvlJc w:val="left"/>
      <w:pPr>
        <w:ind w:left="5760" w:hanging="360"/>
      </w:pPr>
      <w:rPr>
        <w:rFonts w:hint="default" w:ascii="Courier New" w:hAnsi="Courier New" w:eastAsia="Batang"/>
        <w:u w:val="none"/>
      </w:rPr>
    </w:lvl>
    <w:lvl w:ilvl="8" w:tentative="0">
      <w:start w:val="1"/>
      <w:numFmt w:val="bullet"/>
      <w:lvlText w:val=""/>
      <w:lvlJc w:val="left"/>
      <w:pPr>
        <w:ind w:left="6480" w:hanging="360"/>
      </w:pPr>
      <w:rPr>
        <w:rFonts w:hint="default" w:ascii="Wingdings" w:hAnsi="Wingdings" w:eastAsia="Batang"/>
        <w:u w:val="none"/>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600F2F"/>
    <w:multiLevelType w:val="multilevel"/>
    <w:tmpl w:val="72600F2F"/>
    <w:lvl w:ilvl="0" w:tentative="0">
      <w:start w:val="6"/>
      <w:numFmt w:val="bullet"/>
      <w:lvlText w:val="-"/>
      <w:lvlJc w:val="left"/>
      <w:pPr>
        <w:ind w:left="360" w:hanging="360"/>
      </w:pPr>
      <w:rPr>
        <w:rFonts w:hint="default" w:ascii="Arial" w:hAnsi="Arial" w:eastAsia="宋体"/>
        <w:u w:val="none"/>
      </w:rPr>
    </w:lvl>
    <w:lvl w:ilvl="1" w:tentative="0">
      <w:start w:val="1"/>
      <w:numFmt w:val="bullet"/>
      <w:lvlText w:val="o"/>
      <w:lvlJc w:val="left"/>
      <w:pPr>
        <w:ind w:left="1080" w:hanging="360"/>
      </w:pPr>
      <w:rPr>
        <w:rFonts w:hint="default" w:ascii="Courier New" w:hAnsi="Courier New" w:eastAsia="Batang"/>
        <w:u w:val="none"/>
      </w:rPr>
    </w:lvl>
    <w:lvl w:ilvl="2" w:tentative="0">
      <w:start w:val="1"/>
      <w:numFmt w:val="bullet"/>
      <w:lvlText w:val=""/>
      <w:lvlJc w:val="left"/>
      <w:pPr>
        <w:ind w:left="1800" w:hanging="360"/>
      </w:pPr>
      <w:rPr>
        <w:rFonts w:hint="default" w:ascii="Wingdings" w:hAnsi="Wingdings" w:eastAsia="Batang"/>
        <w:u w:val="none"/>
      </w:rPr>
    </w:lvl>
    <w:lvl w:ilvl="3" w:tentative="0">
      <w:start w:val="1"/>
      <w:numFmt w:val="bullet"/>
      <w:lvlText w:val=""/>
      <w:lvlJc w:val="left"/>
      <w:pPr>
        <w:ind w:left="2520" w:hanging="360"/>
      </w:pPr>
      <w:rPr>
        <w:rFonts w:hint="default" w:ascii="Symbol" w:hAnsi="Symbol" w:eastAsia="Batang"/>
        <w:u w:val="none"/>
      </w:rPr>
    </w:lvl>
    <w:lvl w:ilvl="4" w:tentative="0">
      <w:start w:val="1"/>
      <w:numFmt w:val="bullet"/>
      <w:lvlText w:val="o"/>
      <w:lvlJc w:val="left"/>
      <w:pPr>
        <w:ind w:left="3240" w:hanging="360"/>
      </w:pPr>
      <w:rPr>
        <w:rFonts w:hint="default" w:ascii="Courier New" w:hAnsi="Courier New" w:eastAsia="Batang"/>
        <w:u w:val="none"/>
      </w:rPr>
    </w:lvl>
    <w:lvl w:ilvl="5" w:tentative="0">
      <w:start w:val="1"/>
      <w:numFmt w:val="bullet"/>
      <w:lvlText w:val=""/>
      <w:lvlJc w:val="left"/>
      <w:pPr>
        <w:ind w:left="3960" w:hanging="360"/>
      </w:pPr>
      <w:rPr>
        <w:rFonts w:hint="default" w:ascii="Wingdings" w:hAnsi="Wingdings" w:eastAsia="Batang"/>
        <w:u w:val="none"/>
      </w:rPr>
    </w:lvl>
    <w:lvl w:ilvl="6" w:tentative="0">
      <w:start w:val="1"/>
      <w:numFmt w:val="bullet"/>
      <w:lvlText w:val=""/>
      <w:lvlJc w:val="left"/>
      <w:pPr>
        <w:ind w:left="4680" w:hanging="360"/>
      </w:pPr>
      <w:rPr>
        <w:rFonts w:hint="default" w:ascii="Symbol" w:hAnsi="Symbol" w:eastAsia="Batang"/>
        <w:u w:val="none"/>
      </w:rPr>
    </w:lvl>
    <w:lvl w:ilvl="7" w:tentative="0">
      <w:start w:val="1"/>
      <w:numFmt w:val="bullet"/>
      <w:lvlText w:val="o"/>
      <w:lvlJc w:val="left"/>
      <w:pPr>
        <w:ind w:left="5400" w:hanging="360"/>
      </w:pPr>
      <w:rPr>
        <w:rFonts w:hint="default" w:ascii="Courier New" w:hAnsi="Courier New" w:eastAsia="Batang"/>
        <w:u w:val="none"/>
      </w:rPr>
    </w:lvl>
    <w:lvl w:ilvl="8" w:tentative="0">
      <w:start w:val="1"/>
      <w:numFmt w:val="bullet"/>
      <w:lvlText w:val=""/>
      <w:lvlJc w:val="left"/>
      <w:pPr>
        <w:ind w:left="6120" w:hanging="360"/>
      </w:pPr>
      <w:rPr>
        <w:rFonts w:hint="default" w:ascii="Wingdings" w:hAnsi="Wingdings" w:eastAsia="Batang"/>
        <w:u w:val="none"/>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9"/>
  </w:num>
  <w:num w:numId="4">
    <w:abstractNumId w:val="7"/>
  </w:num>
  <w:num w:numId="5">
    <w:abstractNumId w:val="13"/>
  </w:num>
  <w:num w:numId="6">
    <w:abstractNumId w:val="8"/>
  </w:num>
  <w:num w:numId="7">
    <w:abstractNumId w:val="6"/>
  </w:num>
  <w:num w:numId="8">
    <w:abstractNumId w:val="12"/>
  </w:num>
  <w:num w:numId="9">
    <w:abstractNumId w:val="10"/>
  </w:num>
  <w:num w:numId="10">
    <w:abstractNumId w:val="3"/>
  </w:num>
  <w:num w:numId="11">
    <w:abstractNumId w:val="11"/>
  </w:num>
  <w:num w:numId="12">
    <w:abstractNumId w:val="2"/>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A2575D"/>
    <w:rsid w:val="026835F1"/>
    <w:rsid w:val="0284643E"/>
    <w:rsid w:val="02CC2DF9"/>
    <w:rsid w:val="03532C3F"/>
    <w:rsid w:val="03B25C4C"/>
    <w:rsid w:val="03F94E83"/>
    <w:rsid w:val="03FC4856"/>
    <w:rsid w:val="04E46C50"/>
    <w:rsid w:val="04FC54BE"/>
    <w:rsid w:val="05772202"/>
    <w:rsid w:val="066953FF"/>
    <w:rsid w:val="067D4C1C"/>
    <w:rsid w:val="06B127E5"/>
    <w:rsid w:val="06F146D9"/>
    <w:rsid w:val="07165FAB"/>
    <w:rsid w:val="072F2729"/>
    <w:rsid w:val="07901951"/>
    <w:rsid w:val="07C21FA9"/>
    <w:rsid w:val="07F36B9B"/>
    <w:rsid w:val="08F7541D"/>
    <w:rsid w:val="0957797D"/>
    <w:rsid w:val="0972706B"/>
    <w:rsid w:val="09C21BB6"/>
    <w:rsid w:val="09EC1FC7"/>
    <w:rsid w:val="0A7969DF"/>
    <w:rsid w:val="0A867EAB"/>
    <w:rsid w:val="0ACB6154"/>
    <w:rsid w:val="0AFC60B7"/>
    <w:rsid w:val="0B184842"/>
    <w:rsid w:val="0B6F0A8E"/>
    <w:rsid w:val="0BAD7041"/>
    <w:rsid w:val="0BFD1C57"/>
    <w:rsid w:val="0C6F5654"/>
    <w:rsid w:val="0D132BA9"/>
    <w:rsid w:val="0D423CF3"/>
    <w:rsid w:val="0D5B0F38"/>
    <w:rsid w:val="0D660AC2"/>
    <w:rsid w:val="0D672BF6"/>
    <w:rsid w:val="0E120AD5"/>
    <w:rsid w:val="0E9D6013"/>
    <w:rsid w:val="0EB06FFE"/>
    <w:rsid w:val="0EC57FE4"/>
    <w:rsid w:val="0F6B449B"/>
    <w:rsid w:val="0F9C00AF"/>
    <w:rsid w:val="0FEE0729"/>
    <w:rsid w:val="10150A41"/>
    <w:rsid w:val="102F7219"/>
    <w:rsid w:val="103C4085"/>
    <w:rsid w:val="11001DB4"/>
    <w:rsid w:val="12300753"/>
    <w:rsid w:val="1241192F"/>
    <w:rsid w:val="1257267A"/>
    <w:rsid w:val="12A472D8"/>
    <w:rsid w:val="12F015F0"/>
    <w:rsid w:val="12FE321B"/>
    <w:rsid w:val="130859B8"/>
    <w:rsid w:val="13D91C28"/>
    <w:rsid w:val="141F2191"/>
    <w:rsid w:val="142A7523"/>
    <w:rsid w:val="14DD01BC"/>
    <w:rsid w:val="15493DAC"/>
    <w:rsid w:val="1575AEB2"/>
    <w:rsid w:val="15836BA2"/>
    <w:rsid w:val="164F7F6D"/>
    <w:rsid w:val="165E068A"/>
    <w:rsid w:val="1702D3F2"/>
    <w:rsid w:val="17A625DA"/>
    <w:rsid w:val="188D2058"/>
    <w:rsid w:val="18BA7603"/>
    <w:rsid w:val="18FD3F86"/>
    <w:rsid w:val="192B740B"/>
    <w:rsid w:val="19497C62"/>
    <w:rsid w:val="198A694D"/>
    <w:rsid w:val="19FA7F54"/>
    <w:rsid w:val="1A514204"/>
    <w:rsid w:val="1A884F76"/>
    <w:rsid w:val="1AFB1F5A"/>
    <w:rsid w:val="1B2E6DC7"/>
    <w:rsid w:val="1B30699D"/>
    <w:rsid w:val="1B5316CE"/>
    <w:rsid w:val="1B5E59D2"/>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20750BDD"/>
    <w:rsid w:val="20910CB1"/>
    <w:rsid w:val="20CD42FE"/>
    <w:rsid w:val="20EA6C81"/>
    <w:rsid w:val="21035A99"/>
    <w:rsid w:val="210811E1"/>
    <w:rsid w:val="210D039E"/>
    <w:rsid w:val="21282288"/>
    <w:rsid w:val="214B4914"/>
    <w:rsid w:val="21692244"/>
    <w:rsid w:val="218A241C"/>
    <w:rsid w:val="21FA58F2"/>
    <w:rsid w:val="22C62A0D"/>
    <w:rsid w:val="23247878"/>
    <w:rsid w:val="23680C07"/>
    <w:rsid w:val="239E142D"/>
    <w:rsid w:val="23EA21A8"/>
    <w:rsid w:val="245870DE"/>
    <w:rsid w:val="247247A7"/>
    <w:rsid w:val="2473146A"/>
    <w:rsid w:val="24927781"/>
    <w:rsid w:val="24A768B2"/>
    <w:rsid w:val="268C60B5"/>
    <w:rsid w:val="26B04FB4"/>
    <w:rsid w:val="27470D0A"/>
    <w:rsid w:val="275B67F9"/>
    <w:rsid w:val="2793390D"/>
    <w:rsid w:val="27C5366D"/>
    <w:rsid w:val="27DD67CA"/>
    <w:rsid w:val="2839733E"/>
    <w:rsid w:val="28690808"/>
    <w:rsid w:val="28B07E55"/>
    <w:rsid w:val="28B54AA2"/>
    <w:rsid w:val="294D6347"/>
    <w:rsid w:val="29C2594E"/>
    <w:rsid w:val="2A0F0B23"/>
    <w:rsid w:val="2AC65A40"/>
    <w:rsid w:val="2AD7786F"/>
    <w:rsid w:val="2AFE2B7E"/>
    <w:rsid w:val="2B5D7AD6"/>
    <w:rsid w:val="2B8E5174"/>
    <w:rsid w:val="2C731E01"/>
    <w:rsid w:val="2D376513"/>
    <w:rsid w:val="2D3B55CA"/>
    <w:rsid w:val="2DC863F1"/>
    <w:rsid w:val="2E2E5FB6"/>
    <w:rsid w:val="2E4D45F8"/>
    <w:rsid w:val="2EB72406"/>
    <w:rsid w:val="2EE35AD4"/>
    <w:rsid w:val="2F2367DE"/>
    <w:rsid w:val="2F4443E0"/>
    <w:rsid w:val="2F797B38"/>
    <w:rsid w:val="2F994058"/>
    <w:rsid w:val="31542D3B"/>
    <w:rsid w:val="3245071E"/>
    <w:rsid w:val="32832752"/>
    <w:rsid w:val="32FE23BF"/>
    <w:rsid w:val="33006AEC"/>
    <w:rsid w:val="330E6893"/>
    <w:rsid w:val="331628B8"/>
    <w:rsid w:val="3381468D"/>
    <w:rsid w:val="33DE0CB9"/>
    <w:rsid w:val="344F6A36"/>
    <w:rsid w:val="350F1170"/>
    <w:rsid w:val="3511129D"/>
    <w:rsid w:val="357D45BC"/>
    <w:rsid w:val="359455FE"/>
    <w:rsid w:val="366679F6"/>
    <w:rsid w:val="36CD07B0"/>
    <w:rsid w:val="373C5C66"/>
    <w:rsid w:val="375C57D7"/>
    <w:rsid w:val="37DD651E"/>
    <w:rsid w:val="385A4D4A"/>
    <w:rsid w:val="38A94A77"/>
    <w:rsid w:val="38BA113F"/>
    <w:rsid w:val="38E27DEC"/>
    <w:rsid w:val="39937B6F"/>
    <w:rsid w:val="3A0677A1"/>
    <w:rsid w:val="3A135075"/>
    <w:rsid w:val="3A3968C0"/>
    <w:rsid w:val="3A4C1C4E"/>
    <w:rsid w:val="3A563658"/>
    <w:rsid w:val="3A632979"/>
    <w:rsid w:val="3A8424B5"/>
    <w:rsid w:val="3AB31D0C"/>
    <w:rsid w:val="3B141B02"/>
    <w:rsid w:val="3B3961CE"/>
    <w:rsid w:val="3B4A3B53"/>
    <w:rsid w:val="3B5651BA"/>
    <w:rsid w:val="3B94063F"/>
    <w:rsid w:val="3BDE4D0D"/>
    <w:rsid w:val="3BF47021"/>
    <w:rsid w:val="3C1C5A4E"/>
    <w:rsid w:val="3C923082"/>
    <w:rsid w:val="3D0354C7"/>
    <w:rsid w:val="3D503759"/>
    <w:rsid w:val="3D7642C9"/>
    <w:rsid w:val="3D7F5A28"/>
    <w:rsid w:val="3DDA6D42"/>
    <w:rsid w:val="3DE26C3E"/>
    <w:rsid w:val="3DE85362"/>
    <w:rsid w:val="3E01783E"/>
    <w:rsid w:val="3E3769E2"/>
    <w:rsid w:val="3E7347F4"/>
    <w:rsid w:val="3E8552C0"/>
    <w:rsid w:val="3E85534F"/>
    <w:rsid w:val="3E922DCB"/>
    <w:rsid w:val="3EF83C43"/>
    <w:rsid w:val="3F01664D"/>
    <w:rsid w:val="3F175FC8"/>
    <w:rsid w:val="3F1A4DA4"/>
    <w:rsid w:val="3F926FEA"/>
    <w:rsid w:val="3FD010A5"/>
    <w:rsid w:val="401A7BA3"/>
    <w:rsid w:val="401C2F16"/>
    <w:rsid w:val="40850DCD"/>
    <w:rsid w:val="413224B2"/>
    <w:rsid w:val="41580881"/>
    <w:rsid w:val="41AC1D9C"/>
    <w:rsid w:val="4242619A"/>
    <w:rsid w:val="42B20782"/>
    <w:rsid w:val="43444545"/>
    <w:rsid w:val="4345438E"/>
    <w:rsid w:val="434D41C7"/>
    <w:rsid w:val="438741B0"/>
    <w:rsid w:val="44917C93"/>
    <w:rsid w:val="44B612FA"/>
    <w:rsid w:val="44F04ED5"/>
    <w:rsid w:val="459F6357"/>
    <w:rsid w:val="464D0D0B"/>
    <w:rsid w:val="468E37DA"/>
    <w:rsid w:val="46D41E44"/>
    <w:rsid w:val="46E6761D"/>
    <w:rsid w:val="46F114A1"/>
    <w:rsid w:val="47AE2F53"/>
    <w:rsid w:val="47D53EDA"/>
    <w:rsid w:val="47FA0721"/>
    <w:rsid w:val="48EF4086"/>
    <w:rsid w:val="49446ABC"/>
    <w:rsid w:val="496938E0"/>
    <w:rsid w:val="4986043B"/>
    <w:rsid w:val="49882B35"/>
    <w:rsid w:val="4A8F1807"/>
    <w:rsid w:val="4B3872E6"/>
    <w:rsid w:val="4BA329C5"/>
    <w:rsid w:val="4BD33F29"/>
    <w:rsid w:val="4C611769"/>
    <w:rsid w:val="4C822291"/>
    <w:rsid w:val="4CA149AE"/>
    <w:rsid w:val="4D7A6095"/>
    <w:rsid w:val="4DBF6FE1"/>
    <w:rsid w:val="4DCA18F8"/>
    <w:rsid w:val="4DD0057E"/>
    <w:rsid w:val="4DD71CEE"/>
    <w:rsid w:val="4DF51404"/>
    <w:rsid w:val="4E5633F4"/>
    <w:rsid w:val="4E7740D9"/>
    <w:rsid w:val="4EAC0AFF"/>
    <w:rsid w:val="4EC2021D"/>
    <w:rsid w:val="4EC57BBB"/>
    <w:rsid w:val="4ECF3669"/>
    <w:rsid w:val="50196694"/>
    <w:rsid w:val="50946E51"/>
    <w:rsid w:val="50FD13B2"/>
    <w:rsid w:val="513E16AC"/>
    <w:rsid w:val="51DA1198"/>
    <w:rsid w:val="52546F3F"/>
    <w:rsid w:val="52932641"/>
    <w:rsid w:val="52BB6452"/>
    <w:rsid w:val="52FE30BB"/>
    <w:rsid w:val="52FE6B60"/>
    <w:rsid w:val="536E79E7"/>
    <w:rsid w:val="53B442DB"/>
    <w:rsid w:val="543314F7"/>
    <w:rsid w:val="545200D3"/>
    <w:rsid w:val="54CE2507"/>
    <w:rsid w:val="54F930BC"/>
    <w:rsid w:val="55181CD2"/>
    <w:rsid w:val="55841CFB"/>
    <w:rsid w:val="55D01D97"/>
    <w:rsid w:val="56D00DA3"/>
    <w:rsid w:val="56DC5354"/>
    <w:rsid w:val="57032C03"/>
    <w:rsid w:val="57244B18"/>
    <w:rsid w:val="572B62DF"/>
    <w:rsid w:val="57EF6871"/>
    <w:rsid w:val="58240039"/>
    <w:rsid w:val="58400129"/>
    <w:rsid w:val="595A121E"/>
    <w:rsid w:val="59C65DC2"/>
    <w:rsid w:val="59C75644"/>
    <w:rsid w:val="5A814BDD"/>
    <w:rsid w:val="5AF07FF7"/>
    <w:rsid w:val="5AF422E5"/>
    <w:rsid w:val="5B3B7F82"/>
    <w:rsid w:val="5B6858CF"/>
    <w:rsid w:val="5BA105AC"/>
    <w:rsid w:val="5BC940E0"/>
    <w:rsid w:val="5BF26431"/>
    <w:rsid w:val="5BFA172C"/>
    <w:rsid w:val="5C880332"/>
    <w:rsid w:val="5CD36306"/>
    <w:rsid w:val="5D023328"/>
    <w:rsid w:val="5E780DEA"/>
    <w:rsid w:val="5EDE4AA5"/>
    <w:rsid w:val="5F631FA8"/>
    <w:rsid w:val="5F721888"/>
    <w:rsid w:val="5F750B1F"/>
    <w:rsid w:val="60867BFB"/>
    <w:rsid w:val="6133512D"/>
    <w:rsid w:val="61AD3F41"/>
    <w:rsid w:val="61E93730"/>
    <w:rsid w:val="632D3B23"/>
    <w:rsid w:val="6386412B"/>
    <w:rsid w:val="63A44F76"/>
    <w:rsid w:val="64165B94"/>
    <w:rsid w:val="6456298D"/>
    <w:rsid w:val="654B48AE"/>
    <w:rsid w:val="65507243"/>
    <w:rsid w:val="65576B9C"/>
    <w:rsid w:val="656027FF"/>
    <w:rsid w:val="65B11FF7"/>
    <w:rsid w:val="66457E51"/>
    <w:rsid w:val="664A0A82"/>
    <w:rsid w:val="6650714A"/>
    <w:rsid w:val="6680376E"/>
    <w:rsid w:val="66ED31EA"/>
    <w:rsid w:val="67BF1301"/>
    <w:rsid w:val="68085293"/>
    <w:rsid w:val="6851376E"/>
    <w:rsid w:val="686C31D7"/>
    <w:rsid w:val="68F07009"/>
    <w:rsid w:val="691A3243"/>
    <w:rsid w:val="696C42BB"/>
    <w:rsid w:val="698A6B0F"/>
    <w:rsid w:val="6A27755C"/>
    <w:rsid w:val="6A782EAA"/>
    <w:rsid w:val="6ABA7E95"/>
    <w:rsid w:val="6B704279"/>
    <w:rsid w:val="6BB753C9"/>
    <w:rsid w:val="6C4E23A0"/>
    <w:rsid w:val="6C911A64"/>
    <w:rsid w:val="6D020EA1"/>
    <w:rsid w:val="6D78666A"/>
    <w:rsid w:val="6DD86485"/>
    <w:rsid w:val="6E0F1211"/>
    <w:rsid w:val="6EF677CA"/>
    <w:rsid w:val="6F560EDF"/>
    <w:rsid w:val="6F60096A"/>
    <w:rsid w:val="6F64491D"/>
    <w:rsid w:val="6F6E1156"/>
    <w:rsid w:val="6FBD0858"/>
    <w:rsid w:val="70180E63"/>
    <w:rsid w:val="7150596E"/>
    <w:rsid w:val="71957047"/>
    <w:rsid w:val="71B7115A"/>
    <w:rsid w:val="71C7583B"/>
    <w:rsid w:val="71F715BA"/>
    <w:rsid w:val="72E1752D"/>
    <w:rsid w:val="72F06546"/>
    <w:rsid w:val="73070EC2"/>
    <w:rsid w:val="73A015C2"/>
    <w:rsid w:val="73A913CF"/>
    <w:rsid w:val="73EB1497"/>
    <w:rsid w:val="74000A47"/>
    <w:rsid w:val="74181B33"/>
    <w:rsid w:val="741B2927"/>
    <w:rsid w:val="74885606"/>
    <w:rsid w:val="74B93719"/>
    <w:rsid w:val="74DE1C4C"/>
    <w:rsid w:val="751115BE"/>
    <w:rsid w:val="752D1850"/>
    <w:rsid w:val="75740E00"/>
    <w:rsid w:val="759D5584"/>
    <w:rsid w:val="76185042"/>
    <w:rsid w:val="763A080C"/>
    <w:rsid w:val="76EB5B39"/>
    <w:rsid w:val="774A235B"/>
    <w:rsid w:val="776F4F23"/>
    <w:rsid w:val="77B7463B"/>
    <w:rsid w:val="78156E78"/>
    <w:rsid w:val="782D5EAF"/>
    <w:rsid w:val="786302A1"/>
    <w:rsid w:val="789F1175"/>
    <w:rsid w:val="792E4191"/>
    <w:rsid w:val="7931734A"/>
    <w:rsid w:val="79AF12CA"/>
    <w:rsid w:val="7A3D1E89"/>
    <w:rsid w:val="7A601B54"/>
    <w:rsid w:val="7ADB38D4"/>
    <w:rsid w:val="7BD0716D"/>
    <w:rsid w:val="7BF178BE"/>
    <w:rsid w:val="7C162975"/>
    <w:rsid w:val="7CA72D12"/>
    <w:rsid w:val="7D3C13AA"/>
    <w:rsid w:val="7DD2691C"/>
    <w:rsid w:val="7E3563A1"/>
    <w:rsid w:val="7E9326F9"/>
    <w:rsid w:val="7EE20452"/>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3BBEEE87-7CDB-4867-B892-5161785C9B3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2589</Words>
  <Characters>14758</Characters>
  <Lines>122</Lines>
  <Paragraphs>34</Paragraphs>
  <TotalTime>180</TotalTime>
  <ScaleCrop>false</ScaleCrop>
  <LinksUpToDate>false</LinksUpToDate>
  <CharactersWithSpaces>17313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2020-10-21T06:51:38Z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